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776EF" w14:textId="34C88840" w:rsidR="00032A40" w:rsidRPr="007604F2" w:rsidRDefault="00032A40" w:rsidP="003142E6">
      <w:pPr>
        <w:widowControl w:val="0"/>
        <w:tabs>
          <w:tab w:val="right" w:pos="1032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sidR="00DB4889">
        <w:rPr>
          <w:rFonts w:ascii="Arial" w:eastAsia="MS Mincho" w:hAnsi="Arial" w:cs="Arial"/>
          <w:b/>
          <w:bCs/>
          <w:noProof/>
          <w:sz w:val="24"/>
          <w:szCs w:val="24"/>
          <w:lang w:eastAsia="ja-JP"/>
        </w:rPr>
        <w:t>90</w:t>
      </w:r>
      <w:r w:rsidRPr="00C844BE">
        <w:rPr>
          <w:rFonts w:ascii="Arial" w:hAnsi="Arial" w:cs="Arial"/>
          <w:b/>
          <w:bCs/>
          <w:noProof/>
          <w:sz w:val="24"/>
          <w:szCs w:val="24"/>
        </w:rPr>
        <w:t xml:space="preserve">       </w:t>
      </w:r>
      <w:r w:rsidRPr="00C844BE">
        <w:rPr>
          <w:rFonts w:ascii="Arial" w:hAnsi="Arial" w:cs="Arial"/>
          <w:b/>
          <w:bCs/>
          <w:noProof/>
          <w:sz w:val="24"/>
          <w:szCs w:val="24"/>
        </w:rPr>
        <w:tab/>
      </w:r>
      <w:r w:rsidR="004D4775" w:rsidRPr="004D4775">
        <w:rPr>
          <w:rFonts w:ascii="Arial" w:hAnsi="Arial" w:cs="Arial"/>
          <w:b/>
          <w:bCs/>
          <w:noProof/>
          <w:sz w:val="24"/>
          <w:szCs w:val="24"/>
        </w:rPr>
        <w:t>R1-1713991</w:t>
      </w:r>
    </w:p>
    <w:p w14:paraId="5D7A91BA" w14:textId="30AE808E" w:rsidR="00032A40" w:rsidRPr="007604F2" w:rsidRDefault="00DB4889" w:rsidP="00032A40">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Prague</w:t>
      </w:r>
      <w:r w:rsidR="00032A40" w:rsidRPr="007604F2">
        <w:rPr>
          <w:rFonts w:ascii="Arial" w:hAnsi="Arial" w:cs="Arial"/>
          <w:b/>
          <w:bCs/>
          <w:noProof/>
          <w:sz w:val="24"/>
          <w:szCs w:val="24"/>
        </w:rPr>
        <w:t xml:space="preserve">, </w:t>
      </w:r>
      <w:r>
        <w:rPr>
          <w:rFonts w:ascii="Arial" w:hAnsi="Arial" w:cs="Arial"/>
          <w:b/>
          <w:bCs/>
          <w:noProof/>
          <w:sz w:val="24"/>
          <w:szCs w:val="24"/>
        </w:rPr>
        <w:t>Czech Recpublic</w:t>
      </w:r>
      <w:r w:rsidR="00032A40" w:rsidRPr="007604F2">
        <w:rPr>
          <w:rFonts w:ascii="Arial" w:hAnsi="Arial" w:cs="Arial"/>
          <w:b/>
          <w:bCs/>
          <w:noProof/>
          <w:sz w:val="24"/>
          <w:szCs w:val="24"/>
        </w:rPr>
        <w:t xml:space="preserve">, </w:t>
      </w:r>
      <w:r>
        <w:rPr>
          <w:rFonts w:ascii="Arial" w:hAnsi="Arial" w:cs="Arial"/>
          <w:b/>
          <w:bCs/>
          <w:noProof/>
          <w:sz w:val="24"/>
          <w:szCs w:val="24"/>
        </w:rPr>
        <w:t>2</w:t>
      </w:r>
      <w:r w:rsidR="00032A40">
        <w:rPr>
          <w:rFonts w:ascii="Arial" w:hAnsi="Arial" w:cs="Arial"/>
          <w:b/>
          <w:bCs/>
          <w:noProof/>
          <w:sz w:val="24"/>
          <w:szCs w:val="24"/>
        </w:rPr>
        <w:t>1</w:t>
      </w:r>
      <w:r w:rsidR="00032A40" w:rsidRPr="00941D99">
        <w:rPr>
          <w:rFonts w:ascii="Arial" w:hAnsi="Arial" w:cs="Arial"/>
          <w:b/>
          <w:bCs/>
          <w:noProof/>
          <w:sz w:val="24"/>
          <w:szCs w:val="24"/>
        </w:rPr>
        <w:t xml:space="preserve"> - </w:t>
      </w:r>
      <w:r>
        <w:rPr>
          <w:rFonts w:ascii="Arial" w:hAnsi="Arial" w:cs="Arial"/>
          <w:b/>
          <w:bCs/>
          <w:noProof/>
          <w:sz w:val="24"/>
          <w:szCs w:val="24"/>
        </w:rPr>
        <w:t>25</w:t>
      </w:r>
      <w:r w:rsidR="00032A40" w:rsidRPr="00941D99">
        <w:rPr>
          <w:rFonts w:ascii="Arial" w:hAnsi="Arial" w:cs="Arial"/>
          <w:b/>
          <w:bCs/>
          <w:noProof/>
          <w:sz w:val="24"/>
          <w:szCs w:val="24"/>
        </w:rPr>
        <w:t xml:space="preserve"> </w:t>
      </w:r>
      <w:r w:rsidR="00F01465">
        <w:rPr>
          <w:rFonts w:ascii="Arial" w:hAnsi="Arial" w:cs="Arial"/>
          <w:b/>
          <w:bCs/>
          <w:noProof/>
          <w:sz w:val="24"/>
          <w:szCs w:val="24"/>
        </w:rPr>
        <w:t>August</w:t>
      </w:r>
      <w:r w:rsidRPr="00941D99">
        <w:rPr>
          <w:rFonts w:ascii="Arial" w:hAnsi="Arial" w:cs="Arial"/>
          <w:b/>
          <w:bCs/>
          <w:noProof/>
          <w:sz w:val="24"/>
          <w:szCs w:val="24"/>
        </w:rPr>
        <w:t xml:space="preserve"> </w:t>
      </w:r>
      <w:r w:rsidR="00032A40" w:rsidRPr="00941D99">
        <w:rPr>
          <w:rFonts w:ascii="Arial" w:hAnsi="Arial" w:cs="Arial"/>
          <w:b/>
          <w:bCs/>
          <w:noProof/>
          <w:sz w:val="24"/>
          <w:szCs w:val="24"/>
        </w:rPr>
        <w:t>2017</w:t>
      </w:r>
    </w:p>
    <w:p w14:paraId="52CC0AE0" w14:textId="77777777" w:rsidR="007604F2" w:rsidRDefault="007604F2" w:rsidP="00005DBD">
      <w:pPr>
        <w:pStyle w:val="TdocHeader2"/>
        <w:jc w:val="left"/>
        <w:rPr>
          <w:rFonts w:eastAsia="SimSun" w:cs="Arial"/>
          <w:bCs/>
          <w:noProof/>
          <w:sz w:val="24"/>
          <w:szCs w:val="24"/>
        </w:rPr>
      </w:pP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20327176"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AC6557" w:rsidRPr="00AC6557">
        <w:rPr>
          <w:sz w:val="22"/>
          <w:szCs w:val="22"/>
          <w:lang w:val="en-US"/>
        </w:rPr>
        <w:t>Corrections to Mode 3 scheduling</w:t>
      </w:r>
    </w:p>
    <w:p w14:paraId="35A90F35" w14:textId="643686C8" w:rsidR="00005DBD" w:rsidRPr="00AF1FFF" w:rsidRDefault="00005DBD" w:rsidP="00005DBD">
      <w:pPr>
        <w:pStyle w:val="TdocHeader2"/>
        <w:jc w:val="left"/>
        <w:rPr>
          <w:sz w:val="22"/>
          <w:szCs w:val="22"/>
          <w:lang w:val="en-US"/>
        </w:rPr>
      </w:pPr>
      <w:r w:rsidRPr="00AF1FFF">
        <w:rPr>
          <w:sz w:val="22"/>
          <w:szCs w:val="22"/>
          <w:lang w:val="en-US"/>
        </w:rPr>
        <w:t>Agenda Item:</w:t>
      </w:r>
      <w:r w:rsidRPr="00AF1FFF">
        <w:rPr>
          <w:sz w:val="22"/>
          <w:szCs w:val="22"/>
          <w:lang w:val="en-US"/>
        </w:rPr>
        <w:tab/>
      </w:r>
      <w:r w:rsidR="00AF5927">
        <w:rPr>
          <w:sz w:val="22"/>
          <w:szCs w:val="22"/>
          <w:lang w:val="en-US"/>
        </w:rPr>
        <w:t>5.1.3</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2B4D4FA8" w14:textId="01018F21" w:rsidR="00DB4889" w:rsidRDefault="00DB4889" w:rsidP="00DF3FAA">
      <w:pPr>
        <w:pStyle w:val="BodyText"/>
        <w:spacing w:before="240" w:after="240"/>
        <w:jc w:val="both"/>
        <w:rPr>
          <w:sz w:val="20"/>
          <w:szCs w:val="20"/>
        </w:rPr>
      </w:pPr>
      <w:r>
        <w:rPr>
          <w:sz w:val="20"/>
          <w:szCs w:val="20"/>
        </w:rPr>
        <w:t>In RAN1#89, it was agreed to introduce the following corrections to the specificaiton</w:t>
      </w:r>
      <w:r w:rsidR="005D1342">
        <w:rPr>
          <w:sz w:val="20"/>
          <w:szCs w:val="20"/>
        </w:rPr>
        <w:t xml:space="preserve"> </w:t>
      </w:r>
      <w:r w:rsidR="005D1342">
        <w:rPr>
          <w:sz w:val="20"/>
          <w:szCs w:val="20"/>
        </w:rPr>
        <w:fldChar w:fldCharType="begin"/>
      </w:r>
      <w:r w:rsidR="005D1342">
        <w:rPr>
          <w:sz w:val="20"/>
          <w:szCs w:val="20"/>
        </w:rPr>
        <w:instrText xml:space="preserve"> REF _Ref489602441 \r \h </w:instrText>
      </w:r>
      <w:r w:rsidR="005D1342">
        <w:rPr>
          <w:sz w:val="20"/>
          <w:szCs w:val="20"/>
        </w:rPr>
      </w:r>
      <w:r w:rsidR="005D1342">
        <w:rPr>
          <w:sz w:val="20"/>
          <w:szCs w:val="20"/>
        </w:rPr>
        <w:fldChar w:fldCharType="separate"/>
      </w:r>
      <w:r w:rsidR="00A83DCD">
        <w:rPr>
          <w:sz w:val="20"/>
          <w:szCs w:val="20"/>
        </w:rPr>
        <w:t>[1]</w:t>
      </w:r>
      <w:r w:rsidR="005D1342">
        <w:rPr>
          <w:sz w:val="20"/>
          <w:szCs w:val="20"/>
        </w:rPr>
        <w:fldChar w:fldCharType="end"/>
      </w:r>
      <w:r>
        <w:rPr>
          <w:sz w:val="20"/>
          <w:szCs w:val="20"/>
        </w:rPr>
        <w:t>:</w:t>
      </w:r>
    </w:p>
    <w:tbl>
      <w:tblPr>
        <w:tblStyle w:val="TableGrid"/>
        <w:tblW w:w="0" w:type="auto"/>
        <w:tblLook w:val="04A0" w:firstRow="1" w:lastRow="0" w:firstColumn="1" w:lastColumn="0" w:noHBand="0" w:noVBand="1"/>
      </w:tblPr>
      <w:tblGrid>
        <w:gridCol w:w="10479"/>
      </w:tblGrid>
      <w:tr w:rsidR="00DB4889" w14:paraId="2F786636" w14:textId="77777777" w:rsidTr="00DB4889">
        <w:tc>
          <w:tcPr>
            <w:tcW w:w="10479" w:type="dxa"/>
          </w:tcPr>
          <w:p w14:paraId="38F5E130" w14:textId="77777777" w:rsidR="00DB4889" w:rsidRPr="001F0B51" w:rsidRDefault="00DB4889" w:rsidP="00DB4889">
            <w:pPr>
              <w:rPr>
                <w:rFonts w:eastAsia="MS Mincho"/>
                <w:u w:val="single"/>
                <w:lang w:eastAsia="ja-JP"/>
              </w:rPr>
            </w:pPr>
            <w:r w:rsidRPr="001F0B51">
              <w:rPr>
                <w:rFonts w:eastAsia="MS Mincho"/>
                <w:u w:val="single"/>
                <w:lang w:eastAsia="ja-JP"/>
              </w:rPr>
              <w:t>Conclusion:</w:t>
            </w:r>
          </w:p>
          <w:p w14:paraId="463E0F25" w14:textId="3289AB1E" w:rsidR="00DB4889" w:rsidRPr="00502A67" w:rsidRDefault="00DB4889" w:rsidP="00502A67">
            <w:pPr>
              <w:numPr>
                <w:ilvl w:val="0"/>
                <w:numId w:val="37"/>
              </w:numPr>
              <w:spacing w:after="0"/>
            </w:pPr>
            <w:r w:rsidRPr="001F0B51">
              <w:rPr>
                <w:rFonts w:eastAsia="MS Mincho"/>
                <w:lang w:eastAsia="ja-JP"/>
              </w:rPr>
              <w:t xml:space="preserve">The proposal in </w:t>
            </w:r>
            <w:hyperlink r:id="rId7" w:history="1">
              <w:r>
                <w:rPr>
                  <w:rStyle w:val="Hyperlink"/>
                  <w:rFonts w:eastAsia="MS Mincho"/>
                  <w:lang w:eastAsia="ja-JP"/>
                </w:rPr>
                <w:t>R1-1708996</w:t>
              </w:r>
            </w:hyperlink>
            <w:r w:rsidRPr="001F0B51">
              <w:rPr>
                <w:rFonts w:eastAsia="MS Mincho"/>
                <w:lang w:eastAsia="ja-JP"/>
              </w:rPr>
              <w:t xml:space="preserve"> is </w:t>
            </w:r>
            <w:r w:rsidRPr="001F0B51">
              <w:rPr>
                <w:rFonts w:eastAsia="MS Mincho"/>
                <w:highlight w:val="green"/>
                <w:lang w:eastAsia="ja-JP"/>
              </w:rPr>
              <w:t>endorsed in principle</w:t>
            </w:r>
            <w:r w:rsidRPr="001F0B51">
              <w:rPr>
                <w:rFonts w:eastAsia="MS Mincho"/>
                <w:lang w:eastAsia="ja-JP"/>
              </w:rPr>
              <w:t xml:space="preserve">. </w:t>
            </w:r>
            <w:r w:rsidRPr="003A47D6">
              <w:rPr>
                <w:rFonts w:eastAsia="MS Mincho"/>
                <w:lang w:eastAsia="ja-JP"/>
              </w:rPr>
              <w:t>Pr</w:t>
            </w:r>
            <w:r w:rsidRPr="00DA3DC3">
              <w:rPr>
                <w:rFonts w:eastAsia="MS Mincho"/>
                <w:lang w:eastAsia="ja-JP"/>
              </w:rPr>
              <w:t xml:space="preserve">epare a CR in </w:t>
            </w:r>
            <w:hyperlink r:id="rId8" w:history="1">
              <w:r w:rsidRPr="00DA3DC3">
                <w:rPr>
                  <w:rStyle w:val="Hyperlink"/>
                  <w:rFonts w:eastAsia="MS Mincho"/>
                  <w:b/>
                  <w:lang w:eastAsia="ja-JP"/>
                </w:rPr>
                <w:t>R1-1709300</w:t>
              </w:r>
            </w:hyperlink>
          </w:p>
          <w:p w14:paraId="0A45B689" w14:textId="778F0EF7" w:rsidR="00DB4889" w:rsidRDefault="00DB4889" w:rsidP="00502A67">
            <w:pPr>
              <w:spacing w:after="0"/>
              <w:ind w:left="720"/>
            </w:pPr>
          </w:p>
        </w:tc>
      </w:tr>
    </w:tbl>
    <w:p w14:paraId="62E9EA94" w14:textId="41AD40A8" w:rsidR="00DB4889" w:rsidRDefault="00DB4889" w:rsidP="00DF3FAA">
      <w:pPr>
        <w:pStyle w:val="BodyText"/>
        <w:spacing w:before="240" w:after="240"/>
        <w:jc w:val="both"/>
        <w:rPr>
          <w:sz w:val="20"/>
          <w:szCs w:val="20"/>
        </w:rPr>
      </w:pPr>
      <w:r>
        <w:rPr>
          <w:sz w:val="20"/>
          <w:szCs w:val="20"/>
        </w:rPr>
        <w:t xml:space="preserve">The endorsed proposal (in </w:t>
      </w:r>
      <w:r w:rsidRPr="00DB4889">
        <w:rPr>
          <w:sz w:val="20"/>
          <w:szCs w:val="20"/>
        </w:rPr>
        <w:t>R1-1708996</w:t>
      </w:r>
      <w:r>
        <w:rPr>
          <w:sz w:val="20"/>
          <w:szCs w:val="20"/>
        </w:rPr>
        <w:t xml:space="preserve">) </w:t>
      </w:r>
      <w:r w:rsidR="00C6536C">
        <w:rPr>
          <w:sz w:val="20"/>
          <w:szCs w:val="20"/>
        </w:rPr>
        <w:t>states</w:t>
      </w:r>
      <w:r>
        <w:rPr>
          <w:sz w:val="20"/>
          <w:szCs w:val="20"/>
        </w:rPr>
        <w:t xml:space="preserve"> the following:</w:t>
      </w:r>
    </w:p>
    <w:tbl>
      <w:tblPr>
        <w:tblStyle w:val="TableGrid"/>
        <w:tblW w:w="0" w:type="auto"/>
        <w:tblLook w:val="04A0" w:firstRow="1" w:lastRow="0" w:firstColumn="1" w:lastColumn="0" w:noHBand="0" w:noVBand="1"/>
      </w:tblPr>
      <w:tblGrid>
        <w:gridCol w:w="10479"/>
      </w:tblGrid>
      <w:tr w:rsidR="00DB4889" w14:paraId="296E2805" w14:textId="77777777" w:rsidTr="00DB4889">
        <w:tc>
          <w:tcPr>
            <w:tcW w:w="10479" w:type="dxa"/>
          </w:tcPr>
          <w:p w14:paraId="44A7A133" w14:textId="77777777" w:rsidR="00DB4889" w:rsidRPr="00EB06D8" w:rsidRDefault="00DB4889" w:rsidP="00DB4889">
            <w:pPr>
              <w:overflowPunct w:val="0"/>
              <w:autoSpaceDE w:val="0"/>
              <w:autoSpaceDN w:val="0"/>
              <w:adjustRightInd w:val="0"/>
              <w:spacing w:before="240"/>
              <w:textAlignment w:val="baseline"/>
              <w:rPr>
                <w:rFonts w:eastAsia="Malgun Gothic"/>
                <w:b/>
                <w:i/>
                <w:lang w:eastAsia="ko-KR"/>
              </w:rPr>
            </w:pPr>
            <w:r w:rsidRPr="006825A1">
              <w:rPr>
                <w:rFonts w:eastAsia="Malgun Gothic"/>
                <w:b/>
                <w:i/>
                <w:lang w:eastAsia="ko-KR"/>
              </w:rPr>
              <w:t>Proposal:</w:t>
            </w:r>
          </w:p>
          <w:p w14:paraId="5A8E8AC2" w14:textId="1027AF14" w:rsidR="00DB4889" w:rsidRPr="00502A67" w:rsidRDefault="00DB4889" w:rsidP="00502A67">
            <w:pPr>
              <w:pStyle w:val="ListParagraph"/>
              <w:numPr>
                <w:ilvl w:val="0"/>
                <w:numId w:val="36"/>
              </w:numPr>
              <w:overflowPunct w:val="0"/>
              <w:autoSpaceDE w:val="0"/>
              <w:autoSpaceDN w:val="0"/>
              <w:adjustRightInd w:val="0"/>
              <w:spacing w:before="240" w:after="240"/>
              <w:textAlignment w:val="baseline"/>
              <w:rPr>
                <w:rFonts w:eastAsia="Malgun Gothic"/>
                <w:b/>
                <w:i/>
                <w:lang w:eastAsia="ko-KR"/>
              </w:rPr>
            </w:pPr>
            <w:r w:rsidRPr="006825A1">
              <w:rPr>
                <w:rFonts w:ascii="Times New Roman" w:eastAsia="Malgun Gothic" w:hAnsi="Times New Roman" w:cs="Times New Roman"/>
                <w:b/>
                <w:i/>
                <w:sz w:val="20"/>
                <w:szCs w:val="20"/>
                <w:lang w:eastAsia="ko-KR"/>
              </w:rPr>
              <w:t>Mode 3 transmission takes place on the first valid PC5 subframe after the start of subframe n+4</w:t>
            </w:r>
            <w:r>
              <w:rPr>
                <w:rFonts w:ascii="Times New Roman" w:eastAsia="Malgun Gothic" w:hAnsi="Times New Roman" w:cs="Times New Roman"/>
                <w:b/>
                <w:i/>
                <w:sz w:val="20"/>
                <w:szCs w:val="20"/>
                <w:lang w:eastAsia="ko-KR"/>
              </w:rPr>
              <w:t>+m</w:t>
            </w:r>
            <w:r w:rsidRPr="006825A1">
              <w:rPr>
                <w:rFonts w:ascii="Times New Roman" w:eastAsia="Malgun Gothic" w:hAnsi="Times New Roman" w:cs="Times New Roman"/>
                <w:b/>
                <w:i/>
                <w:sz w:val="20"/>
                <w:szCs w:val="20"/>
                <w:lang w:eastAsia="ko-KR"/>
              </w:rPr>
              <w:t xml:space="preserve"> on the Uu carrier</w:t>
            </w:r>
            <w:r>
              <w:rPr>
                <w:rFonts w:ascii="Times New Roman" w:eastAsia="Malgun Gothic" w:hAnsi="Times New Roman" w:cs="Times New Roman"/>
                <w:b/>
                <w:i/>
                <w:sz w:val="20"/>
                <w:szCs w:val="20"/>
                <w:lang w:eastAsia="ko-KR"/>
              </w:rPr>
              <w:t xml:space="preserve"> based on transmitter timing.</w:t>
            </w:r>
          </w:p>
        </w:tc>
      </w:tr>
    </w:tbl>
    <w:p w14:paraId="4BCACC24" w14:textId="0C1FDFB0" w:rsidR="00DD558E" w:rsidRDefault="00DB4889">
      <w:pPr>
        <w:pStyle w:val="BodyText"/>
        <w:spacing w:before="240" w:after="240"/>
        <w:jc w:val="both"/>
        <w:rPr>
          <w:sz w:val="20"/>
          <w:szCs w:val="20"/>
        </w:rPr>
      </w:pPr>
      <w:r>
        <w:rPr>
          <w:sz w:val="20"/>
          <w:szCs w:val="20"/>
        </w:rPr>
        <w:t xml:space="preserve">In addition, </w:t>
      </w:r>
      <w:r w:rsidRPr="00DB4889">
        <w:rPr>
          <w:sz w:val="20"/>
          <w:szCs w:val="20"/>
        </w:rPr>
        <w:t>R1-1708996</w:t>
      </w:r>
      <w:r>
        <w:rPr>
          <w:sz w:val="20"/>
          <w:szCs w:val="20"/>
        </w:rPr>
        <w:t xml:space="preserve"> contained a suggested text proposal. After long discussions the CR in R1-1709300 implementing the above agreement was </w:t>
      </w:r>
      <w:r w:rsidR="00EC12C7">
        <w:rPr>
          <w:sz w:val="20"/>
          <w:szCs w:val="20"/>
        </w:rPr>
        <w:t xml:space="preserve">drafted and </w:t>
      </w:r>
      <w:r>
        <w:rPr>
          <w:sz w:val="20"/>
          <w:szCs w:val="20"/>
        </w:rPr>
        <w:t>submitted. However, this CR was not agreed during the session.</w:t>
      </w:r>
      <w:r w:rsidR="00C6536C">
        <w:rPr>
          <w:sz w:val="20"/>
          <w:szCs w:val="20"/>
        </w:rPr>
        <w:t xml:space="preserve"> The objecting companies stated that </w:t>
      </w:r>
      <w:r w:rsidR="00DD558E">
        <w:rPr>
          <w:sz w:val="20"/>
          <w:szCs w:val="20"/>
        </w:rPr>
        <w:t>the changes to the behavior are only necessary for the case when PC5 and Uu carriers are asynchronous and not for the case when they are synchr</w:t>
      </w:r>
      <w:r w:rsidR="00606549">
        <w:rPr>
          <w:sz w:val="20"/>
          <w:szCs w:val="20"/>
        </w:rPr>
        <w:t>o</w:t>
      </w:r>
      <w:r w:rsidR="00DD558E">
        <w:rPr>
          <w:sz w:val="20"/>
          <w:szCs w:val="20"/>
        </w:rPr>
        <w:t>nous.</w:t>
      </w:r>
      <w:r w:rsidR="00C6536C">
        <w:rPr>
          <w:sz w:val="20"/>
          <w:szCs w:val="20"/>
        </w:rPr>
        <w:t xml:space="preserve"> </w:t>
      </w:r>
      <w:r w:rsidR="00BE2E19">
        <w:rPr>
          <w:sz w:val="20"/>
          <w:szCs w:val="20"/>
        </w:rPr>
        <w:t>It should be noted that neither the proposal nor the corresponding text proposal differentiated between synchronous and asynchronous cases. In addition, we emphasize</w:t>
      </w:r>
      <w:r w:rsidR="005D1342">
        <w:rPr>
          <w:sz w:val="20"/>
          <w:szCs w:val="20"/>
        </w:rPr>
        <w:t xml:space="preserve"> that the CR in </w:t>
      </w:r>
      <w:r w:rsidR="005D1342" w:rsidRPr="00C6536C">
        <w:rPr>
          <w:sz w:val="20"/>
          <w:szCs w:val="20"/>
        </w:rPr>
        <w:t>R1-1709300</w:t>
      </w:r>
      <w:r w:rsidR="005D1342">
        <w:rPr>
          <w:sz w:val="20"/>
          <w:szCs w:val="20"/>
        </w:rPr>
        <w:t xml:space="preserve"> does not change the behavior of the UE if Uu and PC5 are synchronous.</w:t>
      </w:r>
    </w:p>
    <w:p w14:paraId="765ABCB1" w14:textId="6E54718C" w:rsidR="00AF1FFF" w:rsidRDefault="00C6536C" w:rsidP="00DF3FAA">
      <w:pPr>
        <w:pStyle w:val="BodyText"/>
        <w:spacing w:before="240" w:after="240"/>
        <w:jc w:val="both"/>
        <w:rPr>
          <w:sz w:val="20"/>
          <w:szCs w:val="20"/>
        </w:rPr>
      </w:pPr>
      <w:r>
        <w:rPr>
          <w:sz w:val="20"/>
          <w:szCs w:val="20"/>
        </w:rPr>
        <w:t xml:space="preserve">In this contribution, we </w:t>
      </w:r>
      <w:r w:rsidR="002F6DD8">
        <w:rPr>
          <w:sz w:val="20"/>
          <w:szCs w:val="20"/>
        </w:rPr>
        <w:t>present our views on the issue and propose a solution.</w:t>
      </w:r>
      <w:r w:rsidR="002F6DD8" w:rsidDel="002F6DD8">
        <w:rPr>
          <w:sz w:val="20"/>
          <w:szCs w:val="20"/>
        </w:rPr>
        <w:t xml:space="preserve"> </w:t>
      </w:r>
    </w:p>
    <w:p w14:paraId="79877840" w14:textId="3894F268" w:rsidR="001C33A7" w:rsidRPr="00693C18" w:rsidRDefault="002F6DD8" w:rsidP="001C33A7">
      <w:pPr>
        <w:pStyle w:val="Heading1"/>
      </w:pPr>
      <w:r>
        <w:t>Distinction between synchronous and asynchronous cases</w:t>
      </w:r>
    </w:p>
    <w:p w14:paraId="341BDA7B" w14:textId="67F92D18" w:rsidR="00A56DC2" w:rsidRDefault="005D1342">
      <w:pPr>
        <w:overflowPunct w:val="0"/>
        <w:autoSpaceDE w:val="0"/>
        <w:autoSpaceDN w:val="0"/>
        <w:adjustRightInd w:val="0"/>
        <w:spacing w:before="240"/>
        <w:jc w:val="both"/>
        <w:textAlignment w:val="baseline"/>
        <w:rPr>
          <w:rFonts w:eastAsia="Malgun Gothic"/>
          <w:lang w:eastAsia="ko-KR"/>
        </w:rPr>
      </w:pPr>
      <w:r>
        <w:rPr>
          <w:rFonts w:eastAsia="Malgun Gothic"/>
          <w:lang w:eastAsia="ko-KR"/>
        </w:rPr>
        <w:t xml:space="preserve">In the discussions in RAN1#89, the companies objecting to the </w:t>
      </w:r>
      <w:r>
        <w:t>CR in R1-1709300 proposed to use the parameter ‘DFN offset’ to distinguish between synchronous and asynchronous case. This parameter</w:t>
      </w:r>
      <w:r w:rsidR="00C6536C">
        <w:rPr>
          <w:rFonts w:eastAsia="Malgun Gothic"/>
          <w:lang w:eastAsia="ko-KR"/>
        </w:rPr>
        <w:t xml:space="preserve"> was introduced in the specification to ensure that the network could align PC5 </w:t>
      </w:r>
      <w:r w:rsidR="00CF6E8A">
        <w:rPr>
          <w:rFonts w:eastAsia="Malgun Gothic"/>
          <w:lang w:eastAsia="ko-KR"/>
        </w:rPr>
        <w:t>and Uu transmission and mitigate interference.</w:t>
      </w:r>
      <w:r>
        <w:rPr>
          <w:rFonts w:eastAsia="Malgun Gothic"/>
          <w:lang w:eastAsia="ko-KR"/>
        </w:rPr>
        <w:t xml:space="preserve"> The ‘DFN offset’ shifts the timing of the PC5 carrier by a certain offset in the range [0,1] ms to ensure that the PC5 and Uu subframe boundaries coincide.</w:t>
      </w:r>
      <w:r w:rsidR="009B2AA3">
        <w:rPr>
          <w:rFonts w:eastAsia="Malgun Gothic"/>
          <w:lang w:eastAsia="ko-KR"/>
        </w:rPr>
        <w:t xml:space="preserve"> </w:t>
      </w:r>
    </w:p>
    <w:p w14:paraId="0FE04C1B" w14:textId="3B184DF0" w:rsidR="00502A67" w:rsidRPr="00606549" w:rsidRDefault="00A56DC2" w:rsidP="003142E6">
      <w:pPr>
        <w:overflowPunct w:val="0"/>
        <w:autoSpaceDE w:val="0"/>
        <w:autoSpaceDN w:val="0"/>
        <w:adjustRightInd w:val="0"/>
        <w:spacing w:before="240"/>
        <w:jc w:val="both"/>
        <w:textAlignment w:val="baseline"/>
        <w:rPr>
          <w:rFonts w:eastAsia="Malgun Gothic"/>
          <w:lang w:eastAsia="ko-KR"/>
        </w:rPr>
      </w:pPr>
      <w:r>
        <w:rPr>
          <w:rFonts w:eastAsia="Malgun Gothic"/>
          <w:lang w:eastAsia="ko-KR"/>
        </w:rPr>
        <w:t>Using ‘DFN offset’ to distinguish between synchr</w:t>
      </w:r>
      <w:r w:rsidR="00606549">
        <w:rPr>
          <w:rFonts w:eastAsia="Malgun Gothic"/>
          <w:lang w:eastAsia="ko-KR"/>
        </w:rPr>
        <w:t>o</w:t>
      </w:r>
      <w:r>
        <w:rPr>
          <w:rFonts w:eastAsia="Malgun Gothic"/>
          <w:lang w:eastAsia="ko-KR"/>
        </w:rPr>
        <w:t xml:space="preserve">nous and asynchronous cases </w:t>
      </w:r>
      <w:r w:rsidR="009B2AA3">
        <w:rPr>
          <w:rFonts w:eastAsia="Malgun Gothic"/>
          <w:lang w:eastAsia="ko-KR"/>
        </w:rPr>
        <w:t xml:space="preserve">has </w:t>
      </w:r>
      <w:r w:rsidR="00304E04">
        <w:rPr>
          <w:rFonts w:eastAsia="Malgun Gothic"/>
          <w:lang w:eastAsia="ko-KR"/>
        </w:rPr>
        <w:t>multiple problems</w:t>
      </w:r>
      <w:r>
        <w:rPr>
          <w:rFonts w:eastAsia="Malgun Gothic"/>
          <w:lang w:eastAsia="ko-KR"/>
        </w:rPr>
        <w:t>. T</w:t>
      </w:r>
      <w:r w:rsidR="00502A67" w:rsidRPr="00183D11">
        <w:rPr>
          <w:rFonts w:eastAsia="Malgun Gothic"/>
          <w:lang w:eastAsia="ko-KR"/>
        </w:rPr>
        <w:t>he PC5 carrier may not be under control of the operator of the Uu carrier. This means that the timing on the PC5 carrier (</w:t>
      </w:r>
      <w:r w:rsidR="008055D6">
        <w:rPr>
          <w:rFonts w:eastAsia="Malgun Gothic"/>
          <w:lang w:eastAsia="ko-KR"/>
        </w:rPr>
        <w:t xml:space="preserve">which would determine the value of </w:t>
      </w:r>
      <w:r w:rsidR="00502A67" w:rsidRPr="00606549">
        <w:rPr>
          <w:rFonts w:eastAsia="Malgun Gothic"/>
          <w:lang w:eastAsia="ko-KR"/>
        </w:rPr>
        <w:t>‘DFN offset’) may be set externally, without considering the needs of the operator. For example, the access to PC5 carriers on unlicensed spectrum may be determined by regulators.</w:t>
      </w:r>
      <w:r w:rsidR="002F6DD8">
        <w:rPr>
          <w:rFonts w:eastAsia="Malgun Gothic"/>
          <w:lang w:eastAsia="ko-KR"/>
        </w:rPr>
        <w:t xml:space="preserve"> Operational</w:t>
      </w:r>
      <w:r w:rsidR="00502A67" w:rsidRPr="00606549">
        <w:rPr>
          <w:rFonts w:eastAsia="Malgun Gothic"/>
          <w:lang w:eastAsia="ko-KR"/>
        </w:rPr>
        <w:t xml:space="preserve"> </w:t>
      </w:r>
      <w:r w:rsidR="002F6DD8">
        <w:rPr>
          <w:rFonts w:eastAsia="Malgun Gothic"/>
          <w:lang w:eastAsia="ko-KR"/>
        </w:rPr>
        <w:t>p</w:t>
      </w:r>
      <w:r w:rsidR="00502A67" w:rsidRPr="00606549">
        <w:rPr>
          <w:rFonts w:eastAsia="Malgun Gothic"/>
          <w:lang w:eastAsia="ko-KR"/>
        </w:rPr>
        <w:t>roblems would arise in a variety of situations, for example:</w:t>
      </w:r>
    </w:p>
    <w:p w14:paraId="1AFF4E06" w14:textId="3047E05E" w:rsidR="00183D11" w:rsidRDefault="00A56DC2" w:rsidP="008055D6">
      <w:pPr>
        <w:pStyle w:val="ListParagraph"/>
        <w:numPr>
          <w:ilvl w:val="0"/>
          <w:numId w:val="40"/>
        </w:numPr>
        <w:overflowPunct w:val="0"/>
        <w:autoSpaceDE w:val="0"/>
        <w:autoSpaceDN w:val="0"/>
        <w:adjustRightInd w:val="0"/>
        <w:spacing w:before="240" w:after="240"/>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If a</w:t>
      </w:r>
      <w:r w:rsidR="00502A67">
        <w:rPr>
          <w:rFonts w:ascii="Times New Roman" w:eastAsia="Malgun Gothic" w:hAnsi="Times New Roman" w:cs="Times New Roman"/>
          <w:sz w:val="20"/>
          <w:szCs w:val="20"/>
          <w:lang w:eastAsia="ko-KR"/>
        </w:rPr>
        <w:t xml:space="preserve"> PC5 </w:t>
      </w:r>
      <w:r w:rsidR="00AA23BB">
        <w:rPr>
          <w:rFonts w:ascii="Times New Roman" w:eastAsia="Malgun Gothic" w:hAnsi="Times New Roman" w:cs="Times New Roman"/>
          <w:sz w:val="20"/>
          <w:szCs w:val="20"/>
          <w:lang w:eastAsia="ko-KR"/>
        </w:rPr>
        <w:t xml:space="preserve">carrier </w:t>
      </w:r>
      <w:r>
        <w:rPr>
          <w:rFonts w:ascii="Times New Roman" w:eastAsia="Malgun Gothic" w:hAnsi="Times New Roman" w:cs="Times New Roman"/>
          <w:sz w:val="20"/>
          <w:szCs w:val="20"/>
          <w:lang w:eastAsia="ko-KR"/>
        </w:rPr>
        <w:t xml:space="preserve">were controlled </w:t>
      </w:r>
      <w:r w:rsidR="00502A67">
        <w:rPr>
          <w:rFonts w:ascii="Times New Roman" w:eastAsia="Malgun Gothic" w:hAnsi="Times New Roman" w:cs="Times New Roman"/>
          <w:sz w:val="20"/>
          <w:szCs w:val="20"/>
          <w:lang w:eastAsia="ko-KR"/>
        </w:rPr>
        <w:t>by mul</w:t>
      </w:r>
      <w:r>
        <w:rPr>
          <w:rFonts w:ascii="Times New Roman" w:eastAsia="Malgun Gothic" w:hAnsi="Times New Roman" w:cs="Times New Roman"/>
          <w:sz w:val="20"/>
          <w:szCs w:val="20"/>
          <w:lang w:eastAsia="ko-KR"/>
        </w:rPr>
        <w:t>tiple operators, then</w:t>
      </w:r>
      <w:r w:rsidR="00304E04" w:rsidRPr="00502A67">
        <w:rPr>
          <w:rFonts w:ascii="Times New Roman" w:eastAsia="Malgun Gothic" w:hAnsi="Times New Roman" w:cs="Times New Roman"/>
          <w:sz w:val="20"/>
          <w:szCs w:val="20"/>
          <w:lang w:eastAsia="ko-KR"/>
        </w:rPr>
        <w:t xml:space="preserve"> </w:t>
      </w:r>
      <w:r w:rsidR="00183D11">
        <w:rPr>
          <w:rFonts w:ascii="Times New Roman" w:eastAsia="Malgun Gothic" w:hAnsi="Times New Roman" w:cs="Times New Roman"/>
          <w:sz w:val="20"/>
          <w:szCs w:val="20"/>
          <w:lang w:eastAsia="ko-KR"/>
        </w:rPr>
        <w:t xml:space="preserve">setting ‘DFN offset’ </w:t>
      </w:r>
      <w:r>
        <w:rPr>
          <w:rFonts w:ascii="Times New Roman" w:eastAsia="Malgun Gothic" w:hAnsi="Times New Roman" w:cs="Times New Roman"/>
          <w:sz w:val="20"/>
          <w:szCs w:val="20"/>
          <w:lang w:eastAsia="ko-KR"/>
        </w:rPr>
        <w:t>would</w:t>
      </w:r>
      <w:r w:rsidR="00183D11">
        <w:rPr>
          <w:rFonts w:ascii="Times New Roman" w:eastAsia="Malgun Gothic" w:hAnsi="Times New Roman" w:cs="Times New Roman"/>
          <w:sz w:val="20"/>
          <w:szCs w:val="20"/>
          <w:lang w:eastAsia="ko-KR"/>
        </w:rPr>
        <w:t xml:space="preserve"> not possible unless all operators </w:t>
      </w:r>
      <w:r>
        <w:rPr>
          <w:rFonts w:ascii="Times New Roman" w:eastAsia="Malgun Gothic" w:hAnsi="Times New Roman" w:cs="Times New Roman"/>
          <w:sz w:val="20"/>
          <w:szCs w:val="20"/>
          <w:lang w:eastAsia="ko-KR"/>
        </w:rPr>
        <w:t xml:space="preserve">would </w:t>
      </w:r>
      <w:r w:rsidR="00183D11">
        <w:rPr>
          <w:rFonts w:ascii="Times New Roman" w:eastAsia="Malgun Gothic" w:hAnsi="Times New Roman" w:cs="Times New Roman"/>
          <w:sz w:val="20"/>
          <w:szCs w:val="20"/>
          <w:lang w:eastAsia="ko-KR"/>
        </w:rPr>
        <w:t xml:space="preserve">synchronize their networks. </w:t>
      </w:r>
      <w:r>
        <w:rPr>
          <w:rFonts w:ascii="Times New Roman" w:eastAsia="Malgun Gothic" w:hAnsi="Times New Roman" w:cs="Times New Roman"/>
          <w:sz w:val="20"/>
          <w:szCs w:val="20"/>
          <w:lang w:eastAsia="ko-KR"/>
        </w:rPr>
        <w:t>In fact,</w:t>
      </w:r>
      <w:r w:rsidR="00183D11">
        <w:rPr>
          <w:rFonts w:ascii="Times New Roman" w:eastAsia="Malgun Gothic" w:hAnsi="Times New Roman" w:cs="Times New Roman"/>
          <w:sz w:val="20"/>
          <w:szCs w:val="20"/>
          <w:lang w:eastAsia="ko-KR"/>
        </w:rPr>
        <w:t xml:space="preserve"> setting ‘DFN offset’ would effectively leave out those operators or network parts not following UTC timing.</w:t>
      </w:r>
    </w:p>
    <w:p w14:paraId="512E63E9" w14:textId="3F8FC6E6" w:rsidR="00AD5D8D" w:rsidRDefault="00183D11" w:rsidP="008055D6">
      <w:pPr>
        <w:pStyle w:val="ListParagraph"/>
        <w:numPr>
          <w:ilvl w:val="0"/>
          <w:numId w:val="40"/>
        </w:numPr>
        <w:overflowPunct w:val="0"/>
        <w:autoSpaceDE w:val="0"/>
        <w:autoSpaceDN w:val="0"/>
        <w:adjustRightInd w:val="0"/>
        <w:spacing w:before="240" w:after="240"/>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An operator would only be able to control multiple PC5 carriers (i.e., schedule users on the PC5 carriers) if all of them </w:t>
      </w:r>
      <w:r w:rsidR="002F6DD8">
        <w:rPr>
          <w:rFonts w:ascii="Times New Roman" w:eastAsia="Malgun Gothic" w:hAnsi="Times New Roman" w:cs="Times New Roman"/>
          <w:sz w:val="20"/>
          <w:szCs w:val="20"/>
          <w:lang w:eastAsia="ko-KR"/>
        </w:rPr>
        <w:t>were</w:t>
      </w:r>
      <w:r>
        <w:rPr>
          <w:rFonts w:ascii="Times New Roman" w:eastAsia="Malgun Gothic" w:hAnsi="Times New Roman" w:cs="Times New Roman"/>
          <w:sz w:val="20"/>
          <w:szCs w:val="20"/>
          <w:lang w:eastAsia="ko-KR"/>
        </w:rPr>
        <w:t xml:space="preserve"> synchr</w:t>
      </w:r>
      <w:r w:rsidR="00606549">
        <w:rPr>
          <w:rFonts w:ascii="Times New Roman" w:eastAsia="Malgun Gothic" w:hAnsi="Times New Roman" w:cs="Times New Roman"/>
          <w:sz w:val="20"/>
          <w:szCs w:val="20"/>
          <w:lang w:eastAsia="ko-KR"/>
        </w:rPr>
        <w:t>o</w:t>
      </w:r>
      <w:r>
        <w:rPr>
          <w:rFonts w:ascii="Times New Roman" w:eastAsia="Malgun Gothic" w:hAnsi="Times New Roman" w:cs="Times New Roman"/>
          <w:sz w:val="20"/>
          <w:szCs w:val="20"/>
          <w:lang w:eastAsia="ko-KR"/>
        </w:rPr>
        <w:t xml:space="preserve">nized so that </w:t>
      </w:r>
      <w:r w:rsidR="00A56DC2">
        <w:rPr>
          <w:rFonts w:ascii="Times New Roman" w:eastAsia="Malgun Gothic" w:hAnsi="Times New Roman" w:cs="Times New Roman"/>
          <w:sz w:val="20"/>
          <w:szCs w:val="20"/>
          <w:lang w:eastAsia="ko-KR"/>
        </w:rPr>
        <w:t xml:space="preserve">a single </w:t>
      </w:r>
      <w:r>
        <w:rPr>
          <w:rFonts w:ascii="Times New Roman" w:eastAsia="Malgun Gothic" w:hAnsi="Times New Roman" w:cs="Times New Roman"/>
          <w:sz w:val="20"/>
          <w:szCs w:val="20"/>
          <w:lang w:eastAsia="ko-KR"/>
        </w:rPr>
        <w:t>‘DFN offset’</w:t>
      </w:r>
      <w:r w:rsidR="00A56DC2">
        <w:rPr>
          <w:rFonts w:ascii="Times New Roman" w:eastAsia="Malgun Gothic" w:hAnsi="Times New Roman" w:cs="Times New Roman"/>
          <w:sz w:val="20"/>
          <w:szCs w:val="20"/>
          <w:lang w:eastAsia="ko-KR"/>
        </w:rPr>
        <w:t xml:space="preserve"> value would alig</w:t>
      </w:r>
      <w:r w:rsidR="00606549">
        <w:rPr>
          <w:rFonts w:ascii="Times New Roman" w:eastAsia="Malgun Gothic" w:hAnsi="Times New Roman" w:cs="Times New Roman"/>
          <w:sz w:val="20"/>
          <w:szCs w:val="20"/>
          <w:lang w:eastAsia="ko-KR"/>
        </w:rPr>
        <w:t>n</w:t>
      </w:r>
      <w:r w:rsidR="00A56DC2">
        <w:rPr>
          <w:rFonts w:ascii="Times New Roman" w:eastAsia="Malgun Gothic" w:hAnsi="Times New Roman" w:cs="Times New Roman"/>
          <w:sz w:val="20"/>
          <w:szCs w:val="20"/>
          <w:lang w:eastAsia="ko-KR"/>
        </w:rPr>
        <w:t xml:space="preserve"> them. </w:t>
      </w:r>
      <w:r w:rsidR="00A56DC2" w:rsidRPr="00A56DC2">
        <w:rPr>
          <w:rFonts w:ascii="Times New Roman" w:eastAsia="Malgun Gothic" w:hAnsi="Times New Roman" w:cs="Times New Roman"/>
          <w:sz w:val="20"/>
          <w:szCs w:val="20"/>
          <w:lang w:eastAsia="ko-KR"/>
        </w:rPr>
        <w:t>In some cases, it may not be desirable to synchronize such carriers; in other cases, it may not be possible</w:t>
      </w:r>
      <w:r w:rsidR="00A56DC2">
        <w:rPr>
          <w:rFonts w:ascii="Times New Roman" w:eastAsia="Malgun Gothic" w:hAnsi="Times New Roman" w:cs="Times New Roman"/>
          <w:sz w:val="20"/>
          <w:szCs w:val="20"/>
          <w:lang w:eastAsia="ko-KR"/>
        </w:rPr>
        <w:t xml:space="preserve"> at all</w:t>
      </w:r>
      <w:r w:rsidR="00A56DC2" w:rsidRPr="00A56DC2">
        <w:rPr>
          <w:rFonts w:ascii="Times New Roman" w:eastAsia="Malgun Gothic" w:hAnsi="Times New Roman" w:cs="Times New Roman"/>
          <w:sz w:val="20"/>
          <w:szCs w:val="20"/>
          <w:lang w:eastAsia="ko-KR"/>
        </w:rPr>
        <w:t xml:space="preserve"> (e.g., unlicensed carriers outside the control of the operator).</w:t>
      </w:r>
    </w:p>
    <w:p w14:paraId="035F4809" w14:textId="488D9762" w:rsidR="00183D11" w:rsidRPr="008055D6" w:rsidRDefault="00183D11" w:rsidP="008055D6">
      <w:pPr>
        <w:overflowPunct w:val="0"/>
        <w:autoSpaceDE w:val="0"/>
        <w:autoSpaceDN w:val="0"/>
        <w:adjustRightInd w:val="0"/>
        <w:spacing w:before="240" w:after="240"/>
        <w:jc w:val="both"/>
        <w:textAlignment w:val="baseline"/>
        <w:rPr>
          <w:rFonts w:eastAsia="Malgun Gothic"/>
          <w:lang w:eastAsia="ko-KR"/>
        </w:rPr>
      </w:pPr>
      <w:r w:rsidRPr="008055D6">
        <w:rPr>
          <w:rFonts w:eastAsia="Malgun Gothic"/>
          <w:lang w:eastAsia="ko-KR"/>
        </w:rPr>
        <w:t xml:space="preserve">Note that if ‘DFN offset’ were set by an operator in a carrier shared with standalone (operator-less) users, then </w:t>
      </w:r>
      <w:r w:rsidRPr="008055D6">
        <w:rPr>
          <w:rFonts w:eastAsia="Malgun Gothic"/>
          <w:lang w:val="en-US" w:eastAsia="ko-KR"/>
        </w:rPr>
        <w:t xml:space="preserve">the operator would be effectively controlling the use of the PC5 carrier by </w:t>
      </w:r>
      <w:r w:rsidRPr="008055D6">
        <w:rPr>
          <w:rFonts w:eastAsia="Malgun Gothic"/>
          <w:lang w:eastAsia="ko-KR"/>
        </w:rPr>
        <w:t>these</w:t>
      </w:r>
      <w:r w:rsidRPr="008055D6">
        <w:rPr>
          <w:rFonts w:eastAsia="Malgun Gothic"/>
          <w:lang w:val="en-US" w:eastAsia="ko-KR"/>
        </w:rPr>
        <w:t xml:space="preserve"> users</w:t>
      </w:r>
      <w:r w:rsidRPr="008055D6">
        <w:rPr>
          <w:rFonts w:eastAsia="Malgun Gothic"/>
          <w:lang w:eastAsia="ko-KR"/>
        </w:rPr>
        <w:t xml:space="preserve"> too</w:t>
      </w:r>
      <w:r w:rsidRPr="008055D6">
        <w:rPr>
          <w:rFonts w:eastAsia="Malgun Gothic"/>
          <w:lang w:val="en-US" w:eastAsia="ko-KR"/>
        </w:rPr>
        <w:t>.</w:t>
      </w:r>
    </w:p>
    <w:p w14:paraId="5F9AA9BD" w14:textId="4B6EA67B" w:rsidR="00A56DC2" w:rsidRDefault="00A56DC2" w:rsidP="00502A67">
      <w:pPr>
        <w:rPr>
          <w:rFonts w:eastAsia="Malgun Gothic"/>
          <w:lang w:eastAsia="ko-KR"/>
        </w:rPr>
      </w:pPr>
      <w:r>
        <w:rPr>
          <w:rFonts w:eastAsia="Malgun Gothic"/>
          <w:lang w:eastAsia="ko-KR"/>
        </w:rPr>
        <w:lastRenderedPageBreak/>
        <w:t>Some of the above problems may be avoided if the PC5 carrier does not configure the ‘DFN offset’. However, we think that it is not reasonable to complicate the specification with parts that in practice cannot be used.</w:t>
      </w:r>
    </w:p>
    <w:p w14:paraId="503BFAF8" w14:textId="4E5A6B47" w:rsidR="00C6536C" w:rsidRPr="00502A67" w:rsidRDefault="00981494" w:rsidP="00502A67">
      <w:pPr>
        <w:rPr>
          <w:lang w:eastAsia="ko-KR"/>
        </w:rPr>
      </w:pPr>
      <w:r w:rsidRPr="00502A67">
        <w:rPr>
          <w:rFonts w:eastAsia="Malgun Gothic"/>
          <w:lang w:eastAsia="ko-KR"/>
        </w:rPr>
        <w:t>Note that RAN1 agreed to support the multiple-operator scenario</w:t>
      </w:r>
      <w:r w:rsidR="00E22BEA">
        <w:rPr>
          <w:rFonts w:eastAsia="Malgun Gothic"/>
          <w:lang w:eastAsia="ko-KR"/>
        </w:rPr>
        <w:t xml:space="preserve"> </w:t>
      </w:r>
      <w:r w:rsidR="00E22BEA">
        <w:rPr>
          <w:rFonts w:eastAsia="Malgun Gothic"/>
          <w:lang w:eastAsia="ko-KR"/>
        </w:rPr>
        <w:fldChar w:fldCharType="begin"/>
      </w:r>
      <w:r w:rsidR="00E22BEA">
        <w:rPr>
          <w:rFonts w:eastAsia="Malgun Gothic"/>
          <w:lang w:eastAsia="ko-KR"/>
        </w:rPr>
        <w:instrText xml:space="preserve"> REF _Ref489616568 \r \h </w:instrText>
      </w:r>
      <w:r w:rsidR="00E22BEA">
        <w:rPr>
          <w:rFonts w:eastAsia="Malgun Gothic"/>
          <w:lang w:eastAsia="ko-KR"/>
        </w:rPr>
      </w:r>
      <w:r w:rsidR="00E22BEA">
        <w:rPr>
          <w:rFonts w:eastAsia="Malgun Gothic"/>
          <w:lang w:eastAsia="ko-KR"/>
        </w:rPr>
        <w:fldChar w:fldCharType="separate"/>
      </w:r>
      <w:r w:rsidR="00A83DCD">
        <w:rPr>
          <w:rFonts w:eastAsia="Malgun Gothic"/>
          <w:lang w:eastAsia="ko-KR"/>
        </w:rPr>
        <w:t>[2]</w:t>
      </w:r>
      <w:r w:rsidR="00E22BEA">
        <w:rPr>
          <w:rFonts w:eastAsia="Malgun Gothic"/>
          <w:lang w:eastAsia="ko-KR"/>
        </w:rPr>
        <w:fldChar w:fldCharType="end"/>
      </w:r>
      <w:r w:rsidRPr="00502A67">
        <w:rPr>
          <w:rFonts w:eastAsia="Malgun Gothic"/>
          <w:lang w:eastAsia="ko-KR"/>
        </w:rPr>
        <w:t xml:space="preserve">: </w:t>
      </w:r>
    </w:p>
    <w:tbl>
      <w:tblPr>
        <w:tblStyle w:val="TableGrid"/>
        <w:tblW w:w="0" w:type="auto"/>
        <w:tblInd w:w="-34" w:type="dxa"/>
        <w:tblLook w:val="04A0" w:firstRow="1" w:lastRow="0" w:firstColumn="1" w:lastColumn="0" w:noHBand="0" w:noVBand="1"/>
      </w:tblPr>
      <w:tblGrid>
        <w:gridCol w:w="10513"/>
      </w:tblGrid>
      <w:tr w:rsidR="00CF6E8A" w14:paraId="2F7FDD31" w14:textId="77777777" w:rsidTr="00502A67">
        <w:tc>
          <w:tcPr>
            <w:tcW w:w="10513" w:type="dxa"/>
          </w:tcPr>
          <w:p w14:paraId="57557AA4" w14:textId="77777777" w:rsidR="00CF6E8A" w:rsidRPr="0042500D" w:rsidRDefault="00CF6E8A" w:rsidP="00502A67">
            <w:pPr>
              <w:spacing w:before="240"/>
              <w:rPr>
                <w:rFonts w:eastAsia="MS Mincho"/>
                <w:b/>
                <w:iCs/>
                <w:u w:val="single"/>
                <w:lang w:eastAsia="ja-JP"/>
              </w:rPr>
            </w:pPr>
            <w:r w:rsidRPr="0042500D">
              <w:rPr>
                <w:rFonts w:eastAsia="MS Mincho" w:hint="eastAsia"/>
                <w:b/>
                <w:iCs/>
                <w:highlight w:val="green"/>
                <w:u w:val="single"/>
                <w:lang w:eastAsia="ja-JP"/>
              </w:rPr>
              <w:t>Agreements:</w:t>
            </w:r>
          </w:p>
          <w:p w14:paraId="054EB741" w14:textId="77777777" w:rsidR="00CF6E8A" w:rsidRPr="0053443D" w:rsidRDefault="00CF6E8A" w:rsidP="00CF6E8A">
            <w:pPr>
              <w:pStyle w:val="LGTdoc"/>
              <w:numPr>
                <w:ilvl w:val="0"/>
                <w:numId w:val="21"/>
              </w:numPr>
              <w:spacing w:afterLines="0" w:line="240" w:lineRule="atLeast"/>
              <w:rPr>
                <w:sz w:val="20"/>
                <w:szCs w:val="20"/>
                <w:lang w:val="en-US"/>
              </w:rPr>
            </w:pPr>
            <w:r w:rsidRPr="0053443D">
              <w:rPr>
                <w:sz w:val="20"/>
                <w:szCs w:val="20"/>
                <w:lang w:val="en-US"/>
              </w:rPr>
              <w:t>Support cross carrier scheduling for sidelink SPS and dynamic scheduling for V2V with mode-1</w:t>
            </w:r>
          </w:p>
          <w:p w14:paraId="37D8EBA4" w14:textId="77777777" w:rsidR="00CF6E8A" w:rsidRDefault="00CF6E8A" w:rsidP="00CF6E8A">
            <w:pPr>
              <w:pStyle w:val="LGTdoc"/>
              <w:numPr>
                <w:ilvl w:val="1"/>
                <w:numId w:val="21"/>
              </w:numPr>
              <w:spacing w:afterLines="0" w:line="240" w:lineRule="atLeast"/>
              <w:rPr>
                <w:sz w:val="20"/>
                <w:szCs w:val="20"/>
                <w:lang w:val="en-US"/>
              </w:rPr>
            </w:pPr>
            <w:r>
              <w:rPr>
                <w:rFonts w:hint="eastAsia"/>
                <w:sz w:val="20"/>
                <w:szCs w:val="20"/>
                <w:lang w:val="en-US"/>
              </w:rPr>
              <w:t>PC5-based V2V design will support the multiple-operator scenario but not be optimized for it.</w:t>
            </w:r>
          </w:p>
          <w:p w14:paraId="17D4C0CE" w14:textId="77777777" w:rsidR="00CF6E8A" w:rsidRPr="0053443D" w:rsidRDefault="00CF6E8A" w:rsidP="00CF6E8A">
            <w:pPr>
              <w:pStyle w:val="LGTdoc"/>
              <w:numPr>
                <w:ilvl w:val="1"/>
                <w:numId w:val="21"/>
              </w:numPr>
              <w:spacing w:afterLines="0" w:line="240" w:lineRule="atLeast"/>
              <w:rPr>
                <w:sz w:val="20"/>
                <w:szCs w:val="20"/>
                <w:lang w:val="en-US"/>
              </w:rPr>
            </w:pPr>
            <w:r w:rsidRPr="0053443D">
              <w:rPr>
                <w:sz w:val="20"/>
                <w:szCs w:val="20"/>
                <w:lang w:val="en-US"/>
              </w:rPr>
              <w:t>Details FFS</w:t>
            </w:r>
            <w:r>
              <w:rPr>
                <w:rFonts w:hint="eastAsia"/>
                <w:sz w:val="20"/>
                <w:szCs w:val="20"/>
                <w:lang w:val="en-US"/>
              </w:rPr>
              <w:t>, e.g.,</w:t>
            </w:r>
          </w:p>
          <w:p w14:paraId="57F56A96" w14:textId="77777777" w:rsidR="00CF6E8A" w:rsidRPr="0053443D" w:rsidRDefault="00CF6E8A" w:rsidP="00CF6E8A">
            <w:pPr>
              <w:pStyle w:val="LGTdoc"/>
              <w:numPr>
                <w:ilvl w:val="2"/>
                <w:numId w:val="21"/>
              </w:numPr>
              <w:spacing w:afterLines="0" w:line="240" w:lineRule="atLeast"/>
              <w:rPr>
                <w:sz w:val="20"/>
                <w:szCs w:val="20"/>
                <w:lang w:val="en-US"/>
              </w:rPr>
            </w:pPr>
            <w:r w:rsidRPr="0053443D">
              <w:rPr>
                <w:sz w:val="20"/>
                <w:szCs w:val="20"/>
                <w:lang w:val="en-US"/>
              </w:rPr>
              <w:t>How to handle timing difference between eNB timing and PC5 timing, when it exists</w:t>
            </w:r>
          </w:p>
          <w:p w14:paraId="7D06EED4" w14:textId="77777777" w:rsidR="00CF6E8A" w:rsidRDefault="00CF6E8A" w:rsidP="00CF6E8A">
            <w:pPr>
              <w:pStyle w:val="LGTdoc"/>
              <w:numPr>
                <w:ilvl w:val="2"/>
                <w:numId w:val="21"/>
              </w:numPr>
              <w:spacing w:afterLines="0" w:line="240" w:lineRule="atLeast"/>
              <w:rPr>
                <w:sz w:val="20"/>
                <w:szCs w:val="20"/>
                <w:lang w:val="en-US"/>
              </w:rPr>
            </w:pPr>
            <w:r w:rsidRPr="0053443D">
              <w:rPr>
                <w:sz w:val="20"/>
                <w:szCs w:val="20"/>
                <w:lang w:val="en-US"/>
              </w:rPr>
              <w:t>PC5 resource partitioning among multiple operators</w:t>
            </w:r>
          </w:p>
          <w:p w14:paraId="74EC7CE2" w14:textId="3FC6E021" w:rsidR="00CF6E8A" w:rsidRPr="00502A67" w:rsidRDefault="00CF6E8A" w:rsidP="00502A67">
            <w:pPr>
              <w:pStyle w:val="LGTdoc"/>
              <w:numPr>
                <w:ilvl w:val="3"/>
                <w:numId w:val="21"/>
              </w:numPr>
              <w:spacing w:afterLines="0" w:after="240" w:line="240" w:lineRule="atLeast"/>
              <w:rPr>
                <w:lang w:val="en-US"/>
              </w:rPr>
            </w:pPr>
            <w:r>
              <w:rPr>
                <w:rFonts w:hint="eastAsia"/>
                <w:sz w:val="20"/>
                <w:szCs w:val="20"/>
                <w:lang w:val="en-US"/>
              </w:rPr>
              <w:t>Resource coordination across operators is out of 3GPP scope.</w:t>
            </w:r>
          </w:p>
        </w:tc>
      </w:tr>
    </w:tbl>
    <w:p w14:paraId="7B003C89" w14:textId="7022153F" w:rsidR="00CC744B" w:rsidRDefault="00CC744B" w:rsidP="00CF6E8A">
      <w:pPr>
        <w:overflowPunct w:val="0"/>
        <w:autoSpaceDE w:val="0"/>
        <w:autoSpaceDN w:val="0"/>
        <w:adjustRightInd w:val="0"/>
        <w:spacing w:before="240"/>
        <w:jc w:val="both"/>
        <w:textAlignment w:val="baseline"/>
        <w:rPr>
          <w:rFonts w:eastAsia="Malgun Gothic"/>
          <w:b/>
          <w:i/>
          <w:lang w:eastAsia="ko-KR"/>
        </w:rPr>
      </w:pPr>
      <w:r>
        <w:rPr>
          <w:rFonts w:eastAsia="Malgun Gothic"/>
          <w:b/>
          <w:i/>
          <w:lang w:eastAsia="ko-KR"/>
        </w:rPr>
        <w:t>Observation:</w:t>
      </w:r>
    </w:p>
    <w:p w14:paraId="6695FD98" w14:textId="54808CFB" w:rsidR="00CC744B" w:rsidRPr="008055D6" w:rsidRDefault="00CC744B" w:rsidP="008055D6">
      <w:pPr>
        <w:pStyle w:val="ListParagraph"/>
        <w:numPr>
          <w:ilvl w:val="0"/>
          <w:numId w:val="41"/>
        </w:numPr>
        <w:overflowPunct w:val="0"/>
        <w:autoSpaceDE w:val="0"/>
        <w:autoSpaceDN w:val="0"/>
        <w:adjustRightInd w:val="0"/>
        <w:spacing w:before="240"/>
        <w:jc w:val="both"/>
        <w:textAlignment w:val="baseline"/>
        <w:rPr>
          <w:rFonts w:eastAsia="Malgun Gothic"/>
          <w:b/>
          <w:i/>
          <w:lang w:eastAsia="ko-KR"/>
        </w:rPr>
      </w:pPr>
      <w:r w:rsidRPr="008055D6">
        <w:rPr>
          <w:rFonts w:ascii="Times New Roman" w:eastAsia="Malgun Gothic" w:hAnsi="Times New Roman" w:cs="Times New Roman"/>
          <w:b/>
          <w:i/>
          <w:sz w:val="20"/>
          <w:szCs w:val="20"/>
          <w:lang w:eastAsia="ko-KR"/>
        </w:rPr>
        <w:t>The</w:t>
      </w:r>
      <w:r>
        <w:rPr>
          <w:rFonts w:ascii="Times New Roman" w:eastAsia="Malgun Gothic" w:hAnsi="Times New Roman" w:cs="Times New Roman"/>
          <w:b/>
          <w:i/>
          <w:sz w:val="20"/>
          <w:szCs w:val="20"/>
          <w:lang w:eastAsia="ko-KR"/>
        </w:rPr>
        <w:t xml:space="preserve"> use of ‘DFN offset’ </w:t>
      </w:r>
      <w:r w:rsidRPr="00502A67">
        <w:rPr>
          <w:rFonts w:ascii="Times New Roman" w:eastAsia="Malgun Gothic" w:hAnsi="Times New Roman" w:cs="Times New Roman"/>
          <w:b/>
          <w:i/>
          <w:sz w:val="20"/>
          <w:szCs w:val="20"/>
          <w:lang w:eastAsia="ko-KR"/>
        </w:rPr>
        <w:t>to distinguish</w:t>
      </w:r>
      <w:r>
        <w:rPr>
          <w:rFonts w:ascii="Times New Roman" w:eastAsia="Malgun Gothic" w:hAnsi="Times New Roman" w:cs="Times New Roman"/>
          <w:b/>
          <w:i/>
          <w:sz w:val="20"/>
          <w:szCs w:val="20"/>
          <w:lang w:eastAsia="ko-KR"/>
        </w:rPr>
        <w:t xml:space="preserve"> between synchronous and asynchronous cases presents multiple problems.</w:t>
      </w:r>
    </w:p>
    <w:p w14:paraId="2BE4A7B1" w14:textId="30AB1348" w:rsidR="007E7150" w:rsidRPr="00502A67" w:rsidRDefault="007E7150" w:rsidP="00CF6E8A">
      <w:pPr>
        <w:overflowPunct w:val="0"/>
        <w:autoSpaceDE w:val="0"/>
        <w:autoSpaceDN w:val="0"/>
        <w:adjustRightInd w:val="0"/>
        <w:spacing w:before="240"/>
        <w:jc w:val="both"/>
        <w:textAlignment w:val="baseline"/>
        <w:rPr>
          <w:rFonts w:eastAsia="Malgun Gothic"/>
          <w:b/>
          <w:i/>
          <w:lang w:eastAsia="ko-KR"/>
        </w:rPr>
      </w:pPr>
      <w:r w:rsidRPr="00502A67">
        <w:rPr>
          <w:rFonts w:eastAsia="Malgun Gothic"/>
          <w:b/>
          <w:i/>
          <w:lang w:eastAsia="ko-KR"/>
        </w:rPr>
        <w:t>Proposal</w:t>
      </w:r>
      <w:r w:rsidR="00E22BEA">
        <w:rPr>
          <w:rFonts w:eastAsia="Malgun Gothic"/>
          <w:b/>
          <w:i/>
          <w:lang w:eastAsia="ko-KR"/>
        </w:rPr>
        <w:t xml:space="preserve"> 1</w:t>
      </w:r>
      <w:r w:rsidRPr="00502A67">
        <w:rPr>
          <w:rFonts w:eastAsia="Malgun Gothic"/>
          <w:b/>
          <w:i/>
          <w:lang w:eastAsia="ko-KR"/>
        </w:rPr>
        <w:t>:</w:t>
      </w:r>
    </w:p>
    <w:p w14:paraId="6770EEBB" w14:textId="4A541FD0" w:rsidR="007E7150" w:rsidRDefault="007E7150" w:rsidP="00502A67">
      <w:pPr>
        <w:pStyle w:val="ListParagraph"/>
        <w:numPr>
          <w:ilvl w:val="0"/>
          <w:numId w:val="36"/>
        </w:numPr>
        <w:overflowPunct w:val="0"/>
        <w:autoSpaceDE w:val="0"/>
        <w:autoSpaceDN w:val="0"/>
        <w:adjustRightInd w:val="0"/>
        <w:spacing w:before="240"/>
        <w:jc w:val="both"/>
        <w:textAlignment w:val="baseline"/>
        <w:rPr>
          <w:rFonts w:eastAsia="Malgun Gothic"/>
          <w:b/>
          <w:i/>
          <w:lang w:eastAsia="ko-KR"/>
        </w:rPr>
      </w:pPr>
      <w:r w:rsidRPr="00502A67">
        <w:rPr>
          <w:rFonts w:ascii="Times New Roman" w:eastAsia="Malgun Gothic" w:hAnsi="Times New Roman" w:cs="Times New Roman"/>
          <w:b/>
          <w:i/>
          <w:sz w:val="20"/>
          <w:szCs w:val="20"/>
          <w:lang w:eastAsia="ko-KR"/>
        </w:rPr>
        <w:t>‘DFN offset’ is not used to distinguish</w:t>
      </w:r>
      <w:r>
        <w:rPr>
          <w:rFonts w:ascii="Times New Roman" w:eastAsia="Malgun Gothic" w:hAnsi="Times New Roman" w:cs="Times New Roman"/>
          <w:b/>
          <w:i/>
          <w:sz w:val="20"/>
          <w:szCs w:val="20"/>
          <w:lang w:eastAsia="ko-KR"/>
        </w:rPr>
        <w:t xml:space="preserve"> between synchronous and asynchronous cases.</w:t>
      </w:r>
    </w:p>
    <w:p w14:paraId="185541D0" w14:textId="03B96CFB" w:rsidR="00E22BEA" w:rsidRDefault="00AD5D8D">
      <w:pPr>
        <w:overflowPunct w:val="0"/>
        <w:autoSpaceDE w:val="0"/>
        <w:autoSpaceDN w:val="0"/>
        <w:adjustRightInd w:val="0"/>
        <w:spacing w:before="240"/>
        <w:jc w:val="both"/>
        <w:textAlignment w:val="baseline"/>
        <w:rPr>
          <w:rFonts w:eastAsia="Malgun Gothic"/>
          <w:lang w:eastAsia="ko-KR"/>
        </w:rPr>
      </w:pPr>
      <w:r>
        <w:rPr>
          <w:rFonts w:eastAsia="Malgun Gothic"/>
          <w:lang w:eastAsia="ko-KR"/>
        </w:rPr>
        <w:t xml:space="preserve">Our preference is to </w:t>
      </w:r>
      <w:r w:rsidR="004074B6">
        <w:rPr>
          <w:rFonts w:eastAsia="Malgun Gothic"/>
          <w:lang w:eastAsia="ko-KR"/>
        </w:rPr>
        <w:t xml:space="preserve">endorse </w:t>
      </w:r>
      <w:r>
        <w:rPr>
          <w:rFonts w:eastAsia="Malgun Gothic"/>
          <w:lang w:eastAsia="ko-KR"/>
        </w:rPr>
        <w:t xml:space="preserve">the </w:t>
      </w:r>
      <w:r w:rsidRPr="00AD5D8D">
        <w:rPr>
          <w:rFonts w:eastAsia="Malgun Gothic"/>
          <w:lang w:eastAsia="ko-KR"/>
        </w:rPr>
        <w:t>CR in R1-1709300</w:t>
      </w:r>
      <w:r w:rsidR="00A83DCD">
        <w:rPr>
          <w:rFonts w:eastAsia="Malgun Gothic"/>
          <w:lang w:eastAsia="ko-KR"/>
        </w:rPr>
        <w:t>, which does not present any of the above problems and does not change the behavior of the UEs in the synchronous case</w:t>
      </w:r>
      <w:r>
        <w:rPr>
          <w:rFonts w:eastAsia="Malgun Gothic"/>
          <w:lang w:eastAsia="ko-KR"/>
        </w:rPr>
        <w:t xml:space="preserve">. However, for the sake of progress </w:t>
      </w:r>
      <w:r w:rsidR="004074B6">
        <w:rPr>
          <w:rFonts w:eastAsia="Malgun Gothic"/>
          <w:lang w:eastAsia="ko-KR"/>
        </w:rPr>
        <w:t xml:space="preserve">we also present a proposal </w:t>
      </w:r>
      <w:r>
        <w:rPr>
          <w:rFonts w:eastAsia="Malgun Gothic"/>
          <w:lang w:eastAsia="ko-KR"/>
        </w:rPr>
        <w:t>modify</w:t>
      </w:r>
      <w:r w:rsidR="004074B6">
        <w:rPr>
          <w:rFonts w:eastAsia="Malgun Gothic"/>
          <w:lang w:eastAsia="ko-KR"/>
        </w:rPr>
        <w:t>ing</w:t>
      </w:r>
      <w:r>
        <w:rPr>
          <w:rFonts w:eastAsia="Malgun Gothic"/>
          <w:lang w:eastAsia="ko-KR"/>
        </w:rPr>
        <w:t xml:space="preserve"> the behavior so that </w:t>
      </w:r>
      <w:r w:rsidR="00A83DCD">
        <w:rPr>
          <w:rFonts w:eastAsia="Malgun Gothic"/>
          <w:lang w:eastAsia="ko-KR"/>
        </w:rPr>
        <w:t xml:space="preserve">the distinction </w:t>
      </w:r>
      <w:r w:rsidR="00E22BEA">
        <w:rPr>
          <w:rFonts w:eastAsia="Malgun Gothic"/>
          <w:lang w:eastAsia="ko-KR"/>
        </w:rPr>
        <w:t xml:space="preserve">between synchronous and asynchronous </w:t>
      </w:r>
      <w:r w:rsidR="00A83DCD">
        <w:rPr>
          <w:rFonts w:eastAsia="Malgun Gothic"/>
          <w:lang w:eastAsia="ko-KR"/>
        </w:rPr>
        <w:t>is</w:t>
      </w:r>
      <w:r w:rsidR="00E22BEA">
        <w:rPr>
          <w:rFonts w:eastAsia="Malgun Gothic"/>
          <w:lang w:eastAsia="ko-KR"/>
        </w:rPr>
        <w:t xml:space="preserve"> based directly on subframe boundaries.</w:t>
      </w:r>
    </w:p>
    <w:p w14:paraId="14BE4761" w14:textId="73428947" w:rsidR="00E22BEA" w:rsidRPr="00F04481" w:rsidRDefault="00E22BEA" w:rsidP="00E22BEA">
      <w:pPr>
        <w:overflowPunct w:val="0"/>
        <w:autoSpaceDE w:val="0"/>
        <w:autoSpaceDN w:val="0"/>
        <w:adjustRightInd w:val="0"/>
        <w:spacing w:before="240"/>
        <w:jc w:val="both"/>
        <w:textAlignment w:val="baseline"/>
        <w:rPr>
          <w:rFonts w:eastAsia="Malgun Gothic"/>
          <w:b/>
          <w:i/>
          <w:lang w:eastAsia="ko-KR"/>
        </w:rPr>
      </w:pPr>
      <w:r w:rsidRPr="00F04481">
        <w:rPr>
          <w:rFonts w:eastAsia="Malgun Gothic"/>
          <w:b/>
          <w:i/>
          <w:lang w:eastAsia="ko-KR"/>
        </w:rPr>
        <w:t>Proposal</w:t>
      </w:r>
      <w:r>
        <w:rPr>
          <w:rFonts w:eastAsia="Malgun Gothic"/>
          <w:b/>
          <w:i/>
          <w:lang w:eastAsia="ko-KR"/>
        </w:rPr>
        <w:t xml:space="preserve"> 2</w:t>
      </w:r>
      <w:r w:rsidRPr="00F04481">
        <w:rPr>
          <w:rFonts w:eastAsia="Malgun Gothic"/>
          <w:b/>
          <w:i/>
          <w:lang w:eastAsia="ko-KR"/>
        </w:rPr>
        <w:t>:</w:t>
      </w:r>
    </w:p>
    <w:p w14:paraId="62C5016B" w14:textId="74AAA68C" w:rsidR="00E22BEA" w:rsidRDefault="00502A67" w:rsidP="00E22BEA">
      <w:pPr>
        <w:pStyle w:val="ListParagraph"/>
        <w:numPr>
          <w:ilvl w:val="0"/>
          <w:numId w:val="36"/>
        </w:numPr>
        <w:overflowPunct w:val="0"/>
        <w:autoSpaceDE w:val="0"/>
        <w:autoSpaceDN w:val="0"/>
        <w:adjustRightInd w:val="0"/>
        <w:spacing w:before="240"/>
        <w:jc w:val="both"/>
        <w:textAlignment w:val="baseline"/>
        <w:rPr>
          <w:rFonts w:ascii="Times New Roman" w:eastAsia="Malgun Gothic" w:hAnsi="Times New Roman" w:cs="Times New Roman"/>
          <w:b/>
          <w:i/>
          <w:sz w:val="20"/>
          <w:szCs w:val="20"/>
          <w:lang w:eastAsia="ko-KR"/>
        </w:rPr>
      </w:pPr>
      <w:r>
        <w:rPr>
          <w:rFonts w:ascii="Times New Roman" w:eastAsia="Malgun Gothic" w:hAnsi="Times New Roman" w:cs="Times New Roman"/>
          <w:b/>
          <w:i/>
          <w:sz w:val="20"/>
          <w:szCs w:val="20"/>
          <w:lang w:eastAsia="ko-KR"/>
        </w:rPr>
        <w:t>The UE distinguishes between s</w:t>
      </w:r>
      <w:r w:rsidR="00E22BEA">
        <w:rPr>
          <w:rFonts w:ascii="Times New Roman" w:eastAsia="Malgun Gothic" w:hAnsi="Times New Roman" w:cs="Times New Roman"/>
          <w:b/>
          <w:i/>
          <w:sz w:val="20"/>
          <w:szCs w:val="20"/>
          <w:lang w:eastAsia="ko-KR"/>
        </w:rPr>
        <w:t>ynchronous and asynchronous cases by comparing the subframe boundaries on the PC5 and Uu carriers (from a transmitter point of view).</w:t>
      </w:r>
    </w:p>
    <w:p w14:paraId="31A0FC2D" w14:textId="2298EA63" w:rsidR="00E22BEA" w:rsidRDefault="00E22BEA" w:rsidP="00502A67">
      <w:pPr>
        <w:pStyle w:val="ListParagraph"/>
        <w:numPr>
          <w:ilvl w:val="1"/>
          <w:numId w:val="36"/>
        </w:numPr>
        <w:overflowPunct w:val="0"/>
        <w:autoSpaceDE w:val="0"/>
        <w:autoSpaceDN w:val="0"/>
        <w:adjustRightInd w:val="0"/>
        <w:spacing w:before="240"/>
        <w:jc w:val="both"/>
        <w:textAlignment w:val="baseline"/>
        <w:rPr>
          <w:rFonts w:ascii="Times New Roman" w:eastAsia="Malgun Gothic" w:hAnsi="Times New Roman" w:cs="Times New Roman"/>
          <w:b/>
          <w:i/>
          <w:sz w:val="20"/>
          <w:szCs w:val="20"/>
          <w:lang w:eastAsia="ko-KR"/>
        </w:rPr>
      </w:pPr>
      <w:r>
        <w:rPr>
          <w:rFonts w:ascii="Times New Roman" w:eastAsia="Malgun Gothic" w:hAnsi="Times New Roman" w:cs="Times New Roman"/>
          <w:b/>
          <w:i/>
          <w:sz w:val="20"/>
          <w:szCs w:val="20"/>
          <w:lang w:eastAsia="ko-KR"/>
        </w:rPr>
        <w:t>If the subframe boundaries coincide, the text in the current version of the specification is used.</w:t>
      </w:r>
    </w:p>
    <w:p w14:paraId="5F649EB2" w14:textId="73E08B87" w:rsidR="00E22BEA" w:rsidRDefault="00E22BEA" w:rsidP="00502A67">
      <w:pPr>
        <w:pStyle w:val="ListParagraph"/>
        <w:numPr>
          <w:ilvl w:val="1"/>
          <w:numId w:val="36"/>
        </w:numPr>
        <w:overflowPunct w:val="0"/>
        <w:autoSpaceDE w:val="0"/>
        <w:autoSpaceDN w:val="0"/>
        <w:adjustRightInd w:val="0"/>
        <w:spacing w:before="240"/>
        <w:jc w:val="both"/>
        <w:textAlignment w:val="baseline"/>
        <w:rPr>
          <w:rFonts w:ascii="Times New Roman" w:eastAsia="Malgun Gothic" w:hAnsi="Times New Roman" w:cs="Times New Roman"/>
          <w:b/>
          <w:i/>
          <w:sz w:val="20"/>
          <w:szCs w:val="20"/>
          <w:lang w:eastAsia="ko-KR"/>
        </w:rPr>
      </w:pPr>
      <w:r>
        <w:rPr>
          <w:rFonts w:ascii="Times New Roman" w:eastAsia="Malgun Gothic" w:hAnsi="Times New Roman" w:cs="Times New Roman"/>
          <w:b/>
          <w:i/>
          <w:sz w:val="20"/>
          <w:szCs w:val="20"/>
          <w:lang w:eastAsia="ko-KR"/>
        </w:rPr>
        <w:t xml:space="preserve">If the subframe boundaries do not coincide, the text in </w:t>
      </w:r>
      <w:r w:rsidRPr="00502A67">
        <w:rPr>
          <w:rFonts w:ascii="Times New Roman" w:hAnsi="Times New Roman" w:cs="Times New Roman"/>
          <w:b/>
          <w:i/>
          <w:sz w:val="20"/>
          <w:szCs w:val="20"/>
        </w:rPr>
        <w:t>R1-1709300</w:t>
      </w:r>
      <w:r>
        <w:rPr>
          <w:rFonts w:ascii="Times New Roman" w:hAnsi="Times New Roman" w:cs="Times New Roman"/>
          <w:b/>
          <w:i/>
          <w:sz w:val="20"/>
          <w:szCs w:val="20"/>
        </w:rPr>
        <w:t xml:space="preserve"> is used.</w:t>
      </w:r>
    </w:p>
    <w:p w14:paraId="4F0BB62D" w14:textId="255F55F2" w:rsidR="00E22BEA" w:rsidRPr="00502A67" w:rsidRDefault="00E22BEA">
      <w:pPr>
        <w:overflowPunct w:val="0"/>
        <w:autoSpaceDE w:val="0"/>
        <w:autoSpaceDN w:val="0"/>
        <w:adjustRightInd w:val="0"/>
        <w:spacing w:before="240"/>
        <w:jc w:val="both"/>
        <w:textAlignment w:val="baseline"/>
        <w:rPr>
          <w:rFonts w:eastAsia="Malgun Gothic"/>
          <w:lang w:eastAsia="ko-KR"/>
        </w:rPr>
      </w:pPr>
      <w:r w:rsidRPr="00A83DCD">
        <w:rPr>
          <w:rFonts w:eastAsia="Malgun Gothic"/>
          <w:lang w:val="en-US" w:eastAsia="ko-KR"/>
        </w:rPr>
        <w:t xml:space="preserve">We present a corresponding CR in </w:t>
      </w:r>
      <w:r w:rsidR="00A83DCD">
        <w:rPr>
          <w:rFonts w:eastAsia="Malgun Gothic"/>
          <w:lang w:val="en-US" w:eastAsia="ko-KR"/>
        </w:rPr>
        <w:fldChar w:fldCharType="begin"/>
      </w:r>
      <w:r w:rsidR="00A83DCD">
        <w:rPr>
          <w:rFonts w:eastAsia="Malgun Gothic"/>
          <w:lang w:val="en-US" w:eastAsia="ko-KR"/>
        </w:rPr>
        <w:instrText xml:space="preserve"> REF _Ref489862266 \r \h </w:instrText>
      </w:r>
      <w:r w:rsidR="00A83DCD">
        <w:rPr>
          <w:rFonts w:eastAsia="Malgun Gothic"/>
          <w:lang w:val="en-US" w:eastAsia="ko-KR"/>
        </w:rPr>
      </w:r>
      <w:r w:rsidR="00A83DCD">
        <w:rPr>
          <w:rFonts w:eastAsia="Malgun Gothic"/>
          <w:lang w:val="en-US" w:eastAsia="ko-KR"/>
        </w:rPr>
        <w:fldChar w:fldCharType="separate"/>
      </w:r>
      <w:r w:rsidR="00A83DCD">
        <w:rPr>
          <w:rFonts w:eastAsia="Malgun Gothic"/>
          <w:lang w:val="en-US" w:eastAsia="ko-KR"/>
        </w:rPr>
        <w:t>[3]</w:t>
      </w:r>
      <w:r w:rsidR="00A83DCD">
        <w:rPr>
          <w:rFonts w:eastAsia="Malgun Gothic"/>
          <w:lang w:val="en-US" w:eastAsia="ko-KR"/>
        </w:rPr>
        <w:fldChar w:fldCharType="end"/>
      </w:r>
      <w:r w:rsidR="00A83DCD" w:rsidRPr="00502A67">
        <w:rPr>
          <w:rFonts w:eastAsia="Malgun Gothic"/>
          <w:lang w:val="en-US" w:eastAsia="ko-KR"/>
        </w:rPr>
        <w:t>.</w:t>
      </w:r>
    </w:p>
    <w:p w14:paraId="3C4455C8" w14:textId="0EED3EE3" w:rsidR="00706C19" w:rsidRPr="00744368" w:rsidRDefault="00706C19" w:rsidP="00706C19">
      <w:pPr>
        <w:pStyle w:val="Heading1"/>
      </w:pPr>
      <w:r w:rsidRPr="00744368">
        <w:t xml:space="preserve">Conclusion </w:t>
      </w:r>
    </w:p>
    <w:p w14:paraId="249BA244" w14:textId="130E7849" w:rsidR="00706C19" w:rsidRPr="0084038A" w:rsidRDefault="00706C19" w:rsidP="00706C19">
      <w:pPr>
        <w:pStyle w:val="BodyText"/>
        <w:spacing w:after="240"/>
        <w:jc w:val="both"/>
        <w:rPr>
          <w:spacing w:val="2"/>
          <w:sz w:val="20"/>
          <w:szCs w:val="20"/>
        </w:rPr>
      </w:pPr>
      <w:r w:rsidRPr="0084038A">
        <w:rPr>
          <w:spacing w:val="2"/>
          <w:sz w:val="20"/>
          <w:szCs w:val="20"/>
        </w:rPr>
        <w:t xml:space="preserve">In this </w:t>
      </w:r>
      <w:r w:rsidRPr="008055D6">
        <w:rPr>
          <w:spacing w:val="2"/>
          <w:sz w:val="20"/>
          <w:szCs w:val="20"/>
        </w:rPr>
        <w:t xml:space="preserve">contribution </w:t>
      </w:r>
      <w:r w:rsidRPr="003142E6">
        <w:rPr>
          <w:spacing w:val="2"/>
          <w:sz w:val="20"/>
          <w:szCs w:val="20"/>
        </w:rPr>
        <w:t xml:space="preserve">we </w:t>
      </w:r>
      <w:r w:rsidR="00954578" w:rsidRPr="003142E6">
        <w:rPr>
          <w:spacing w:val="2"/>
          <w:sz w:val="20"/>
          <w:szCs w:val="20"/>
        </w:rPr>
        <w:t xml:space="preserve">have discussed </w:t>
      </w:r>
      <w:r w:rsidR="008055D6" w:rsidRPr="003142E6">
        <w:rPr>
          <w:spacing w:val="2"/>
          <w:sz w:val="20"/>
          <w:szCs w:val="20"/>
        </w:rPr>
        <w:t>the implementation of an agreement from last meeting</w:t>
      </w:r>
      <w:r w:rsidR="00954578" w:rsidRPr="008055D6">
        <w:rPr>
          <w:spacing w:val="2"/>
          <w:sz w:val="20"/>
          <w:szCs w:val="20"/>
        </w:rPr>
        <w:t>. We have observed</w:t>
      </w:r>
      <w:r w:rsidR="00954578" w:rsidRPr="0084038A">
        <w:rPr>
          <w:spacing w:val="2"/>
          <w:sz w:val="20"/>
          <w:szCs w:val="20"/>
        </w:rPr>
        <w:t xml:space="preserve"> and proposed the following:</w:t>
      </w:r>
    </w:p>
    <w:p w14:paraId="72C4D445" w14:textId="77777777" w:rsidR="008055D6" w:rsidRDefault="008055D6" w:rsidP="008055D6">
      <w:pPr>
        <w:overflowPunct w:val="0"/>
        <w:autoSpaceDE w:val="0"/>
        <w:autoSpaceDN w:val="0"/>
        <w:adjustRightInd w:val="0"/>
        <w:spacing w:before="240"/>
        <w:jc w:val="both"/>
        <w:textAlignment w:val="baseline"/>
        <w:rPr>
          <w:rFonts w:eastAsia="Malgun Gothic"/>
          <w:b/>
          <w:i/>
          <w:lang w:eastAsia="ko-KR"/>
        </w:rPr>
      </w:pPr>
      <w:r>
        <w:rPr>
          <w:rFonts w:eastAsia="Malgun Gothic"/>
          <w:b/>
          <w:i/>
          <w:lang w:eastAsia="ko-KR"/>
        </w:rPr>
        <w:t>Observation:</w:t>
      </w:r>
    </w:p>
    <w:p w14:paraId="04103D74" w14:textId="77777777" w:rsidR="008055D6" w:rsidRPr="008055D6" w:rsidRDefault="008055D6" w:rsidP="008055D6">
      <w:pPr>
        <w:pStyle w:val="ListParagraph"/>
        <w:numPr>
          <w:ilvl w:val="0"/>
          <w:numId w:val="41"/>
        </w:numPr>
        <w:overflowPunct w:val="0"/>
        <w:autoSpaceDE w:val="0"/>
        <w:autoSpaceDN w:val="0"/>
        <w:adjustRightInd w:val="0"/>
        <w:spacing w:before="240"/>
        <w:jc w:val="both"/>
        <w:textAlignment w:val="baseline"/>
        <w:rPr>
          <w:rFonts w:eastAsia="Malgun Gothic"/>
          <w:b/>
          <w:i/>
          <w:lang w:eastAsia="ko-KR"/>
        </w:rPr>
      </w:pPr>
      <w:r w:rsidRPr="008055D6">
        <w:rPr>
          <w:rFonts w:ascii="Times New Roman" w:eastAsia="Malgun Gothic" w:hAnsi="Times New Roman" w:cs="Times New Roman"/>
          <w:b/>
          <w:i/>
          <w:sz w:val="20"/>
          <w:szCs w:val="20"/>
          <w:lang w:eastAsia="ko-KR"/>
        </w:rPr>
        <w:t>The</w:t>
      </w:r>
      <w:r>
        <w:rPr>
          <w:rFonts w:ascii="Times New Roman" w:eastAsia="Malgun Gothic" w:hAnsi="Times New Roman" w:cs="Times New Roman"/>
          <w:b/>
          <w:i/>
          <w:sz w:val="20"/>
          <w:szCs w:val="20"/>
          <w:lang w:eastAsia="ko-KR"/>
        </w:rPr>
        <w:t xml:space="preserve"> use of ‘DFN offset’ </w:t>
      </w:r>
      <w:r w:rsidRPr="00502A67">
        <w:rPr>
          <w:rFonts w:ascii="Times New Roman" w:eastAsia="Malgun Gothic" w:hAnsi="Times New Roman" w:cs="Times New Roman"/>
          <w:b/>
          <w:i/>
          <w:sz w:val="20"/>
          <w:szCs w:val="20"/>
          <w:lang w:eastAsia="ko-KR"/>
        </w:rPr>
        <w:t>to distinguish</w:t>
      </w:r>
      <w:r>
        <w:rPr>
          <w:rFonts w:ascii="Times New Roman" w:eastAsia="Malgun Gothic" w:hAnsi="Times New Roman" w:cs="Times New Roman"/>
          <w:b/>
          <w:i/>
          <w:sz w:val="20"/>
          <w:szCs w:val="20"/>
          <w:lang w:eastAsia="ko-KR"/>
        </w:rPr>
        <w:t xml:space="preserve"> between synchronous and asynchronous cases presents multiple problems.</w:t>
      </w:r>
    </w:p>
    <w:p w14:paraId="7E122B48" w14:textId="77777777" w:rsidR="008055D6" w:rsidRPr="00502A67" w:rsidRDefault="008055D6" w:rsidP="008055D6">
      <w:pPr>
        <w:overflowPunct w:val="0"/>
        <w:autoSpaceDE w:val="0"/>
        <w:autoSpaceDN w:val="0"/>
        <w:adjustRightInd w:val="0"/>
        <w:spacing w:before="240"/>
        <w:jc w:val="both"/>
        <w:textAlignment w:val="baseline"/>
        <w:rPr>
          <w:rFonts w:eastAsia="Malgun Gothic"/>
          <w:b/>
          <w:i/>
          <w:lang w:eastAsia="ko-KR"/>
        </w:rPr>
      </w:pPr>
      <w:r w:rsidRPr="00502A67">
        <w:rPr>
          <w:rFonts w:eastAsia="Malgun Gothic"/>
          <w:b/>
          <w:i/>
          <w:lang w:eastAsia="ko-KR"/>
        </w:rPr>
        <w:t>Proposal</w:t>
      </w:r>
      <w:r>
        <w:rPr>
          <w:rFonts w:eastAsia="Malgun Gothic"/>
          <w:b/>
          <w:i/>
          <w:lang w:eastAsia="ko-KR"/>
        </w:rPr>
        <w:t xml:space="preserve"> 1</w:t>
      </w:r>
      <w:r w:rsidRPr="00502A67">
        <w:rPr>
          <w:rFonts w:eastAsia="Malgun Gothic"/>
          <w:b/>
          <w:i/>
          <w:lang w:eastAsia="ko-KR"/>
        </w:rPr>
        <w:t>:</w:t>
      </w:r>
    </w:p>
    <w:p w14:paraId="1A136670" w14:textId="77777777" w:rsidR="008055D6" w:rsidRDefault="008055D6" w:rsidP="008055D6">
      <w:pPr>
        <w:pStyle w:val="ListParagraph"/>
        <w:numPr>
          <w:ilvl w:val="0"/>
          <w:numId w:val="36"/>
        </w:numPr>
        <w:overflowPunct w:val="0"/>
        <w:autoSpaceDE w:val="0"/>
        <w:autoSpaceDN w:val="0"/>
        <w:adjustRightInd w:val="0"/>
        <w:spacing w:before="240"/>
        <w:jc w:val="both"/>
        <w:textAlignment w:val="baseline"/>
        <w:rPr>
          <w:rFonts w:eastAsia="Malgun Gothic"/>
          <w:b/>
          <w:i/>
          <w:lang w:eastAsia="ko-KR"/>
        </w:rPr>
      </w:pPr>
      <w:r w:rsidRPr="00502A67">
        <w:rPr>
          <w:rFonts w:ascii="Times New Roman" w:eastAsia="Malgun Gothic" w:hAnsi="Times New Roman" w:cs="Times New Roman"/>
          <w:b/>
          <w:i/>
          <w:sz w:val="20"/>
          <w:szCs w:val="20"/>
          <w:lang w:eastAsia="ko-KR"/>
        </w:rPr>
        <w:t>‘DFN offset’ is not used to distinguish</w:t>
      </w:r>
      <w:r>
        <w:rPr>
          <w:rFonts w:ascii="Times New Roman" w:eastAsia="Malgun Gothic" w:hAnsi="Times New Roman" w:cs="Times New Roman"/>
          <w:b/>
          <w:i/>
          <w:sz w:val="20"/>
          <w:szCs w:val="20"/>
          <w:lang w:eastAsia="ko-KR"/>
        </w:rPr>
        <w:t xml:space="preserve"> between synchronous and asynchronous cases.</w:t>
      </w:r>
    </w:p>
    <w:p w14:paraId="3EC5105F" w14:textId="77777777" w:rsidR="008055D6" w:rsidRPr="00F04481" w:rsidRDefault="008055D6" w:rsidP="008055D6">
      <w:pPr>
        <w:overflowPunct w:val="0"/>
        <w:autoSpaceDE w:val="0"/>
        <w:autoSpaceDN w:val="0"/>
        <w:adjustRightInd w:val="0"/>
        <w:spacing w:before="240"/>
        <w:jc w:val="both"/>
        <w:textAlignment w:val="baseline"/>
        <w:rPr>
          <w:rFonts w:eastAsia="Malgun Gothic"/>
          <w:b/>
          <w:i/>
          <w:lang w:eastAsia="ko-KR"/>
        </w:rPr>
      </w:pPr>
      <w:r w:rsidRPr="00F04481">
        <w:rPr>
          <w:rFonts w:eastAsia="Malgun Gothic"/>
          <w:b/>
          <w:i/>
          <w:lang w:eastAsia="ko-KR"/>
        </w:rPr>
        <w:t>Proposal</w:t>
      </w:r>
      <w:r>
        <w:rPr>
          <w:rFonts w:eastAsia="Malgun Gothic"/>
          <w:b/>
          <w:i/>
          <w:lang w:eastAsia="ko-KR"/>
        </w:rPr>
        <w:t xml:space="preserve"> 2</w:t>
      </w:r>
      <w:r w:rsidRPr="00F04481">
        <w:rPr>
          <w:rFonts w:eastAsia="Malgun Gothic"/>
          <w:b/>
          <w:i/>
          <w:lang w:eastAsia="ko-KR"/>
        </w:rPr>
        <w:t>:</w:t>
      </w:r>
    </w:p>
    <w:p w14:paraId="2911F2A4" w14:textId="77777777" w:rsidR="008055D6" w:rsidRDefault="008055D6" w:rsidP="008055D6">
      <w:pPr>
        <w:pStyle w:val="ListParagraph"/>
        <w:numPr>
          <w:ilvl w:val="0"/>
          <w:numId w:val="36"/>
        </w:numPr>
        <w:overflowPunct w:val="0"/>
        <w:autoSpaceDE w:val="0"/>
        <w:autoSpaceDN w:val="0"/>
        <w:adjustRightInd w:val="0"/>
        <w:spacing w:before="240"/>
        <w:jc w:val="both"/>
        <w:textAlignment w:val="baseline"/>
        <w:rPr>
          <w:rFonts w:ascii="Times New Roman" w:eastAsia="Malgun Gothic" w:hAnsi="Times New Roman" w:cs="Times New Roman"/>
          <w:b/>
          <w:i/>
          <w:sz w:val="20"/>
          <w:szCs w:val="20"/>
          <w:lang w:eastAsia="ko-KR"/>
        </w:rPr>
      </w:pPr>
      <w:r>
        <w:rPr>
          <w:rFonts w:ascii="Times New Roman" w:eastAsia="Malgun Gothic" w:hAnsi="Times New Roman" w:cs="Times New Roman"/>
          <w:b/>
          <w:i/>
          <w:sz w:val="20"/>
          <w:szCs w:val="20"/>
          <w:lang w:eastAsia="ko-KR"/>
        </w:rPr>
        <w:t>The UE distinguishes between synchronous and asynchronous cases by comparing the subframe boundaries on the PC5 and Uu carriers (from a transmitter point of view).</w:t>
      </w:r>
    </w:p>
    <w:p w14:paraId="30964729" w14:textId="77777777" w:rsidR="008055D6" w:rsidRDefault="008055D6" w:rsidP="008055D6">
      <w:pPr>
        <w:pStyle w:val="ListParagraph"/>
        <w:numPr>
          <w:ilvl w:val="1"/>
          <w:numId w:val="36"/>
        </w:numPr>
        <w:overflowPunct w:val="0"/>
        <w:autoSpaceDE w:val="0"/>
        <w:autoSpaceDN w:val="0"/>
        <w:adjustRightInd w:val="0"/>
        <w:spacing w:before="240"/>
        <w:jc w:val="both"/>
        <w:textAlignment w:val="baseline"/>
        <w:rPr>
          <w:rFonts w:ascii="Times New Roman" w:eastAsia="Malgun Gothic" w:hAnsi="Times New Roman" w:cs="Times New Roman"/>
          <w:b/>
          <w:i/>
          <w:sz w:val="20"/>
          <w:szCs w:val="20"/>
          <w:lang w:eastAsia="ko-KR"/>
        </w:rPr>
      </w:pPr>
      <w:r>
        <w:rPr>
          <w:rFonts w:ascii="Times New Roman" w:eastAsia="Malgun Gothic" w:hAnsi="Times New Roman" w:cs="Times New Roman"/>
          <w:b/>
          <w:i/>
          <w:sz w:val="20"/>
          <w:szCs w:val="20"/>
          <w:lang w:eastAsia="ko-KR"/>
        </w:rPr>
        <w:t>If the subframe boundaries coincide, the text in the current version of the specification is used.</w:t>
      </w:r>
    </w:p>
    <w:p w14:paraId="1034B19C" w14:textId="77777777" w:rsidR="008055D6" w:rsidRDefault="008055D6" w:rsidP="008055D6">
      <w:pPr>
        <w:pStyle w:val="ListParagraph"/>
        <w:numPr>
          <w:ilvl w:val="1"/>
          <w:numId w:val="36"/>
        </w:numPr>
        <w:overflowPunct w:val="0"/>
        <w:autoSpaceDE w:val="0"/>
        <w:autoSpaceDN w:val="0"/>
        <w:adjustRightInd w:val="0"/>
        <w:spacing w:before="240"/>
        <w:jc w:val="both"/>
        <w:textAlignment w:val="baseline"/>
        <w:rPr>
          <w:rFonts w:ascii="Times New Roman" w:eastAsia="Malgun Gothic" w:hAnsi="Times New Roman" w:cs="Times New Roman"/>
          <w:b/>
          <w:i/>
          <w:sz w:val="20"/>
          <w:szCs w:val="20"/>
          <w:lang w:eastAsia="ko-KR"/>
        </w:rPr>
      </w:pPr>
      <w:r>
        <w:rPr>
          <w:rFonts w:ascii="Times New Roman" w:eastAsia="Malgun Gothic" w:hAnsi="Times New Roman" w:cs="Times New Roman"/>
          <w:b/>
          <w:i/>
          <w:sz w:val="20"/>
          <w:szCs w:val="20"/>
          <w:lang w:eastAsia="ko-KR"/>
        </w:rPr>
        <w:t xml:space="preserve">If the subframe boundaries do not coincide, the text in </w:t>
      </w:r>
      <w:r w:rsidRPr="00502A67">
        <w:rPr>
          <w:rFonts w:ascii="Times New Roman" w:hAnsi="Times New Roman" w:cs="Times New Roman"/>
          <w:b/>
          <w:i/>
          <w:sz w:val="20"/>
          <w:szCs w:val="20"/>
        </w:rPr>
        <w:t>R1-1709300</w:t>
      </w:r>
      <w:r>
        <w:rPr>
          <w:rFonts w:ascii="Times New Roman" w:hAnsi="Times New Roman" w:cs="Times New Roman"/>
          <w:b/>
          <w:i/>
          <w:sz w:val="20"/>
          <w:szCs w:val="20"/>
        </w:rPr>
        <w:t xml:space="preserve"> is used.</w:t>
      </w:r>
    </w:p>
    <w:p w14:paraId="5036C165" w14:textId="5346EBD1" w:rsidR="00706C19" w:rsidRPr="00DA1475" w:rsidRDefault="00706C19" w:rsidP="00706C19">
      <w:pPr>
        <w:pStyle w:val="Heading1"/>
      </w:pPr>
      <w:r w:rsidRPr="00DA1475">
        <w:lastRenderedPageBreak/>
        <w:t>Reference</w:t>
      </w:r>
    </w:p>
    <w:p w14:paraId="5FA6188E" w14:textId="696AE21A" w:rsidR="00706C19" w:rsidRPr="004D4775" w:rsidRDefault="005D1342" w:rsidP="00DB3D7F">
      <w:pPr>
        <w:pStyle w:val="ListParagraph"/>
        <w:numPr>
          <w:ilvl w:val="0"/>
          <w:numId w:val="9"/>
        </w:numPr>
        <w:ind w:left="567" w:hanging="425"/>
        <w:rPr>
          <w:rFonts w:ascii="Times New Roman" w:hAnsi="Times New Roman" w:cs="Times New Roman"/>
          <w:color w:val="312E25"/>
          <w:sz w:val="20"/>
          <w:szCs w:val="20"/>
          <w:lang w:eastAsia="sv-SE"/>
        </w:rPr>
      </w:pPr>
      <w:bookmarkStart w:id="4" w:name="_Ref489602441"/>
      <w:r>
        <w:rPr>
          <w:rFonts w:ascii="Times New Roman" w:hAnsi="Times New Roman" w:cs="Times New Roman"/>
          <w:sz w:val="20"/>
          <w:szCs w:val="20"/>
        </w:rPr>
        <w:t>RAN1#89</w:t>
      </w:r>
      <w:r w:rsidRPr="004D4775">
        <w:rPr>
          <w:rFonts w:ascii="Times New Roman" w:hAnsi="Times New Roman" w:cs="Times New Roman"/>
          <w:sz w:val="20"/>
          <w:szCs w:val="20"/>
        </w:rPr>
        <w:t>, Chairman’s notes</w:t>
      </w:r>
      <w:bookmarkEnd w:id="4"/>
    </w:p>
    <w:p w14:paraId="7BC80229" w14:textId="1E34E8C8" w:rsidR="00981494" w:rsidRPr="004D4775" w:rsidRDefault="00981494" w:rsidP="00981494">
      <w:pPr>
        <w:pStyle w:val="ListParagraph"/>
        <w:numPr>
          <w:ilvl w:val="0"/>
          <w:numId w:val="9"/>
        </w:numPr>
        <w:ind w:left="567" w:hanging="425"/>
        <w:rPr>
          <w:rFonts w:ascii="Times New Roman" w:hAnsi="Times New Roman" w:cs="Times New Roman"/>
          <w:color w:val="312E25"/>
          <w:sz w:val="20"/>
          <w:szCs w:val="20"/>
          <w:lang w:eastAsia="sv-SE"/>
        </w:rPr>
      </w:pPr>
      <w:bookmarkStart w:id="5" w:name="_Ref489616568"/>
      <w:r w:rsidRPr="004D4775">
        <w:rPr>
          <w:rFonts w:ascii="Times New Roman" w:hAnsi="Times New Roman" w:cs="Times New Roman"/>
          <w:sz w:val="20"/>
          <w:szCs w:val="20"/>
        </w:rPr>
        <w:t>RAN1#85, Chairman’s notes</w:t>
      </w:r>
      <w:bookmarkEnd w:id="5"/>
    </w:p>
    <w:p w14:paraId="408ACF29" w14:textId="09B6C889" w:rsidR="00A83DCD" w:rsidRPr="003142E6" w:rsidRDefault="004D4775" w:rsidP="008055D6">
      <w:pPr>
        <w:pStyle w:val="ListParagraph"/>
        <w:numPr>
          <w:ilvl w:val="0"/>
          <w:numId w:val="9"/>
        </w:numPr>
        <w:ind w:left="567" w:hanging="425"/>
        <w:rPr>
          <w:rFonts w:ascii="Times New Roman" w:hAnsi="Times New Roman" w:cs="Times New Roman"/>
          <w:color w:val="312E25"/>
          <w:sz w:val="20"/>
          <w:szCs w:val="20"/>
          <w:lang w:eastAsia="sv-SE"/>
        </w:rPr>
      </w:pPr>
      <w:bookmarkStart w:id="6" w:name="_Ref489862266"/>
      <w:r w:rsidRPr="004D4775">
        <w:rPr>
          <w:rFonts w:ascii="Times New Roman" w:hAnsi="Times New Roman" w:cs="Times New Roman"/>
          <w:color w:val="312E25"/>
          <w:sz w:val="20"/>
          <w:szCs w:val="20"/>
          <w:lang w:eastAsia="sv-SE"/>
        </w:rPr>
        <w:t>R1-1713992</w:t>
      </w:r>
      <w:r w:rsidR="00A83DCD" w:rsidRPr="003142E6">
        <w:rPr>
          <w:rFonts w:ascii="Times New Roman" w:hAnsi="Times New Roman" w:cs="Times New Roman"/>
          <w:color w:val="312E25"/>
          <w:sz w:val="20"/>
          <w:szCs w:val="20"/>
          <w:lang w:eastAsia="sv-SE"/>
        </w:rPr>
        <w:t>, “[DRAFT] Corrections to Mode-3 Scheduling”, Ericsson</w:t>
      </w:r>
      <w:bookmarkEnd w:id="6"/>
    </w:p>
    <w:p w14:paraId="7E6C663F" w14:textId="495D5A66" w:rsidR="006F1DF0" w:rsidRPr="004D4775" w:rsidRDefault="00EC12C7" w:rsidP="00DB3D7F">
      <w:pPr>
        <w:pStyle w:val="ListParagraph"/>
        <w:numPr>
          <w:ilvl w:val="0"/>
          <w:numId w:val="9"/>
        </w:numPr>
        <w:ind w:left="567" w:hanging="425"/>
        <w:rPr>
          <w:rFonts w:ascii="Times New Roman" w:hAnsi="Times New Roman" w:cs="Times New Roman"/>
          <w:color w:val="312E25"/>
          <w:sz w:val="20"/>
          <w:szCs w:val="20"/>
          <w:lang w:eastAsia="sv-SE"/>
        </w:rPr>
      </w:pPr>
      <w:bookmarkStart w:id="7" w:name="_Ref489862214"/>
      <w:r w:rsidRPr="004D4775">
        <w:rPr>
          <w:rFonts w:ascii="Times New Roman" w:hAnsi="Times New Roman" w:cs="Times New Roman"/>
          <w:color w:val="312E25"/>
          <w:sz w:val="20"/>
          <w:szCs w:val="20"/>
          <w:lang w:eastAsia="sv-SE"/>
        </w:rPr>
        <w:t>R1-1709300, “[DRAFT] Corrections to Mode-3 Scheduling”, Ericsson</w:t>
      </w:r>
      <w:bookmarkEnd w:id="7"/>
    </w:p>
    <w:p w14:paraId="2A005839" w14:textId="14FF833F" w:rsidR="00420D28" w:rsidRPr="00420D28" w:rsidRDefault="00420D28" w:rsidP="003810E1"/>
    <w:sectPr w:rsidR="00420D28" w:rsidRPr="00420D28"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29B46" w14:textId="77777777" w:rsidR="00A5714E" w:rsidRDefault="00A5714E">
      <w:r>
        <w:separator/>
      </w:r>
    </w:p>
  </w:endnote>
  <w:endnote w:type="continuationSeparator" w:id="0">
    <w:p w14:paraId="4A0CD84B" w14:textId="77777777" w:rsidR="00A5714E" w:rsidRDefault="00A57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F6E8A" w:rsidRDefault="00CF6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F6E8A" w:rsidRDefault="00CF6E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F6E8A" w:rsidRDefault="00CF6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56566" w14:textId="77777777" w:rsidR="00A5714E" w:rsidRDefault="00A5714E">
      <w:r>
        <w:separator/>
      </w:r>
    </w:p>
  </w:footnote>
  <w:footnote w:type="continuationSeparator" w:id="0">
    <w:p w14:paraId="14E3E5CD" w14:textId="77777777" w:rsidR="00A5714E" w:rsidRDefault="00A57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F6E8A" w:rsidRDefault="00CF6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F6E8A" w:rsidRDefault="00CF6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F6E8A" w:rsidRDefault="00CF6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CE26825"/>
    <w:multiLevelType w:val="hybridMultilevel"/>
    <w:tmpl w:val="5E24E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9962E8"/>
    <w:multiLevelType w:val="hybridMultilevel"/>
    <w:tmpl w:val="70C23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8"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242E8"/>
    <w:multiLevelType w:val="hybridMultilevel"/>
    <w:tmpl w:val="F850C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3596705"/>
    <w:multiLevelType w:val="hybridMultilevel"/>
    <w:tmpl w:val="CE7E4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9D4DC0"/>
    <w:multiLevelType w:val="hybridMultilevel"/>
    <w:tmpl w:val="05E21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654F5844"/>
    <w:multiLevelType w:val="hybridMultilevel"/>
    <w:tmpl w:val="FD4E3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C37EB8"/>
    <w:multiLevelType w:val="hybridMultilevel"/>
    <w:tmpl w:val="BB2065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C525D78"/>
    <w:multiLevelType w:val="hybridMultilevel"/>
    <w:tmpl w:val="7BD89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FF6972"/>
    <w:multiLevelType w:val="hybridMultilevel"/>
    <w:tmpl w:val="FA506D54"/>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C20D17"/>
    <w:multiLevelType w:val="hybridMultilevel"/>
    <w:tmpl w:val="2B467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35023AF"/>
    <w:multiLevelType w:val="hybridMultilevel"/>
    <w:tmpl w:val="6EBEC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8"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2"/>
  </w:num>
  <w:num w:numId="2">
    <w:abstractNumId w:val="36"/>
  </w:num>
  <w:num w:numId="3">
    <w:abstractNumId w:val="32"/>
  </w:num>
  <w:num w:numId="4">
    <w:abstractNumId w:val="16"/>
  </w:num>
  <w:num w:numId="5">
    <w:abstractNumId w:val="20"/>
  </w:num>
  <w:num w:numId="6">
    <w:abstractNumId w:val="37"/>
  </w:num>
  <w:num w:numId="7">
    <w:abstractNumId w:val="2"/>
  </w:num>
  <w:num w:numId="8">
    <w:abstractNumId w:val="28"/>
  </w:num>
  <w:num w:numId="9">
    <w:abstractNumId w:val="15"/>
  </w:num>
  <w:num w:numId="10">
    <w:abstractNumId w:val="21"/>
  </w:num>
  <w:num w:numId="11">
    <w:abstractNumId w:val="38"/>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1"/>
  </w:num>
  <w:num w:numId="17">
    <w:abstractNumId w:val="30"/>
  </w:num>
  <w:num w:numId="18">
    <w:abstractNumId w:val="6"/>
  </w:num>
  <w:num w:numId="19">
    <w:abstractNumId w:val="9"/>
  </w:num>
  <w:num w:numId="20">
    <w:abstractNumId w:val="34"/>
  </w:num>
  <w:num w:numId="21">
    <w:abstractNumId w:val="8"/>
  </w:num>
  <w:num w:numId="22">
    <w:abstractNumId w:val="11"/>
  </w:num>
  <w:num w:numId="23">
    <w:abstractNumId w:val="17"/>
  </w:num>
  <w:num w:numId="24">
    <w:abstractNumId w:val="3"/>
  </w:num>
  <w:num w:numId="25">
    <w:abstractNumId w:val="7"/>
  </w:num>
  <w:num w:numId="26">
    <w:abstractNumId w:val="12"/>
  </w:num>
  <w:num w:numId="27">
    <w:abstractNumId w:val="19"/>
  </w:num>
  <w:num w:numId="28">
    <w:abstractNumId w:val="1"/>
  </w:num>
  <w:num w:numId="29">
    <w:abstractNumId w:val="27"/>
  </w:num>
  <w:num w:numId="30">
    <w:abstractNumId w:val="25"/>
  </w:num>
  <w:num w:numId="31">
    <w:abstractNumId w:val="13"/>
  </w:num>
  <w:num w:numId="32">
    <w:abstractNumId w:val="18"/>
  </w:num>
  <w:num w:numId="33">
    <w:abstractNumId w:val="5"/>
  </w:num>
  <w:num w:numId="34">
    <w:abstractNumId w:val="33"/>
  </w:num>
  <w:num w:numId="35">
    <w:abstractNumId w:val="10"/>
  </w:num>
  <w:num w:numId="36">
    <w:abstractNumId w:val="26"/>
  </w:num>
  <w:num w:numId="37">
    <w:abstractNumId w:val="4"/>
  </w:num>
  <w:num w:numId="38">
    <w:abstractNumId w:val="24"/>
  </w:num>
  <w:num w:numId="39">
    <w:abstractNumId w:val="29"/>
  </w:num>
  <w:num w:numId="40">
    <w:abstractNumId w:val="14"/>
  </w:num>
  <w:num w:numId="4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73"/>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A40"/>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4B1"/>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38E"/>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8CC"/>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61E"/>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1A5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4A"/>
    <w:rsid w:val="001810FF"/>
    <w:rsid w:val="001811CE"/>
    <w:rsid w:val="001815A1"/>
    <w:rsid w:val="00181669"/>
    <w:rsid w:val="001817B0"/>
    <w:rsid w:val="00182093"/>
    <w:rsid w:val="00183579"/>
    <w:rsid w:val="001839D0"/>
    <w:rsid w:val="00183A8D"/>
    <w:rsid w:val="00183D11"/>
    <w:rsid w:val="00184512"/>
    <w:rsid w:val="00184713"/>
    <w:rsid w:val="00184BEE"/>
    <w:rsid w:val="00184FFE"/>
    <w:rsid w:val="0018535A"/>
    <w:rsid w:val="00185884"/>
    <w:rsid w:val="00185AB7"/>
    <w:rsid w:val="00185D53"/>
    <w:rsid w:val="00185F05"/>
    <w:rsid w:val="00186A0C"/>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AC7"/>
    <w:rsid w:val="00236FB3"/>
    <w:rsid w:val="00236FD8"/>
    <w:rsid w:val="002372EA"/>
    <w:rsid w:val="002377B0"/>
    <w:rsid w:val="00237A22"/>
    <w:rsid w:val="00237F9A"/>
    <w:rsid w:val="0024082A"/>
    <w:rsid w:val="00241A62"/>
    <w:rsid w:val="00241E1B"/>
    <w:rsid w:val="00242039"/>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33A"/>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57C4"/>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75A"/>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09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1DF"/>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5C1"/>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6DD8"/>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04"/>
    <w:rsid w:val="00304E36"/>
    <w:rsid w:val="003051E2"/>
    <w:rsid w:val="0030589D"/>
    <w:rsid w:val="00305A94"/>
    <w:rsid w:val="00305B42"/>
    <w:rsid w:val="003060F4"/>
    <w:rsid w:val="003061A9"/>
    <w:rsid w:val="00306383"/>
    <w:rsid w:val="0030676C"/>
    <w:rsid w:val="00306B79"/>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2E6"/>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37629"/>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C14"/>
    <w:rsid w:val="00406E1C"/>
    <w:rsid w:val="00406F7C"/>
    <w:rsid w:val="004074B6"/>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343"/>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775"/>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9EA"/>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67"/>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3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77BA7"/>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B"/>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342"/>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549"/>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D68"/>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AB7"/>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25A1"/>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18"/>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2E90"/>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A53"/>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8D"/>
    <w:rsid w:val="006E58FB"/>
    <w:rsid w:val="006E5A82"/>
    <w:rsid w:val="006E6587"/>
    <w:rsid w:val="006E6B1E"/>
    <w:rsid w:val="006E6B92"/>
    <w:rsid w:val="006E7148"/>
    <w:rsid w:val="006F0486"/>
    <w:rsid w:val="006F05A7"/>
    <w:rsid w:val="006F0683"/>
    <w:rsid w:val="006F0EB6"/>
    <w:rsid w:val="006F1086"/>
    <w:rsid w:val="006F115A"/>
    <w:rsid w:val="006F1662"/>
    <w:rsid w:val="006F1C64"/>
    <w:rsid w:val="006F1DF0"/>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36"/>
    <w:rsid w:val="007B7B85"/>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150"/>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1E39"/>
    <w:rsid w:val="00802A2C"/>
    <w:rsid w:val="00802A86"/>
    <w:rsid w:val="00802C73"/>
    <w:rsid w:val="00802D3B"/>
    <w:rsid w:val="00802E45"/>
    <w:rsid w:val="008032B2"/>
    <w:rsid w:val="00803787"/>
    <w:rsid w:val="00803AF6"/>
    <w:rsid w:val="00803DB4"/>
    <w:rsid w:val="008041F4"/>
    <w:rsid w:val="008042B5"/>
    <w:rsid w:val="008055D6"/>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0F7"/>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19"/>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06D"/>
    <w:rsid w:val="00840155"/>
    <w:rsid w:val="00840170"/>
    <w:rsid w:val="0084038A"/>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0AA"/>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494"/>
    <w:rsid w:val="00981700"/>
    <w:rsid w:val="00981BBC"/>
    <w:rsid w:val="00982640"/>
    <w:rsid w:val="00982806"/>
    <w:rsid w:val="009828BE"/>
    <w:rsid w:val="00982B96"/>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2AA3"/>
    <w:rsid w:val="009B33D1"/>
    <w:rsid w:val="009B3793"/>
    <w:rsid w:val="009B3B5C"/>
    <w:rsid w:val="009B3C4F"/>
    <w:rsid w:val="009B4F22"/>
    <w:rsid w:val="009B51BE"/>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CD"/>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90A"/>
    <w:rsid w:val="00A31DFF"/>
    <w:rsid w:val="00A32005"/>
    <w:rsid w:val="00A323B3"/>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25CE"/>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DC2"/>
    <w:rsid w:val="00A56E15"/>
    <w:rsid w:val="00A56FB9"/>
    <w:rsid w:val="00A5701B"/>
    <w:rsid w:val="00A5714E"/>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0E06"/>
    <w:rsid w:val="00A811C3"/>
    <w:rsid w:val="00A812AC"/>
    <w:rsid w:val="00A81D88"/>
    <w:rsid w:val="00A82088"/>
    <w:rsid w:val="00A82262"/>
    <w:rsid w:val="00A826FD"/>
    <w:rsid w:val="00A8289B"/>
    <w:rsid w:val="00A82B13"/>
    <w:rsid w:val="00A82FE1"/>
    <w:rsid w:val="00A8315B"/>
    <w:rsid w:val="00A83BE4"/>
    <w:rsid w:val="00A83C75"/>
    <w:rsid w:val="00A83DCD"/>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3BB"/>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557"/>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D8D"/>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1FFF"/>
    <w:rsid w:val="00AF24EC"/>
    <w:rsid w:val="00AF2893"/>
    <w:rsid w:val="00AF2A87"/>
    <w:rsid w:val="00AF2CAF"/>
    <w:rsid w:val="00AF3665"/>
    <w:rsid w:val="00AF3DFC"/>
    <w:rsid w:val="00AF3EE9"/>
    <w:rsid w:val="00AF4742"/>
    <w:rsid w:val="00AF4881"/>
    <w:rsid w:val="00AF5111"/>
    <w:rsid w:val="00AF52A9"/>
    <w:rsid w:val="00AF5581"/>
    <w:rsid w:val="00AF5927"/>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955"/>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CF9"/>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6CC"/>
    <w:rsid w:val="00B6776A"/>
    <w:rsid w:val="00B67816"/>
    <w:rsid w:val="00B67A04"/>
    <w:rsid w:val="00B67AED"/>
    <w:rsid w:val="00B67B45"/>
    <w:rsid w:val="00B67C90"/>
    <w:rsid w:val="00B70306"/>
    <w:rsid w:val="00B70336"/>
    <w:rsid w:val="00B70603"/>
    <w:rsid w:val="00B70682"/>
    <w:rsid w:val="00B707F1"/>
    <w:rsid w:val="00B70AC2"/>
    <w:rsid w:val="00B70D76"/>
    <w:rsid w:val="00B70E52"/>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2D9D"/>
    <w:rsid w:val="00BE2E19"/>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1832"/>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B9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2B6D"/>
    <w:rsid w:val="00C22C48"/>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520"/>
    <w:rsid w:val="00C45625"/>
    <w:rsid w:val="00C460B7"/>
    <w:rsid w:val="00C46887"/>
    <w:rsid w:val="00C46DEA"/>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36C"/>
    <w:rsid w:val="00C65B5B"/>
    <w:rsid w:val="00C666C3"/>
    <w:rsid w:val="00C67240"/>
    <w:rsid w:val="00C67A6F"/>
    <w:rsid w:val="00C67A81"/>
    <w:rsid w:val="00C67C33"/>
    <w:rsid w:val="00C67F1F"/>
    <w:rsid w:val="00C701A0"/>
    <w:rsid w:val="00C70268"/>
    <w:rsid w:val="00C70419"/>
    <w:rsid w:val="00C70934"/>
    <w:rsid w:val="00C70D8A"/>
    <w:rsid w:val="00C7134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2D03"/>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4B"/>
    <w:rsid w:val="00CC74C3"/>
    <w:rsid w:val="00CC75B8"/>
    <w:rsid w:val="00CC79DC"/>
    <w:rsid w:val="00CC7EA2"/>
    <w:rsid w:val="00CD0327"/>
    <w:rsid w:val="00CD0891"/>
    <w:rsid w:val="00CD090C"/>
    <w:rsid w:val="00CD0F51"/>
    <w:rsid w:val="00CD10D9"/>
    <w:rsid w:val="00CD1111"/>
    <w:rsid w:val="00CD119C"/>
    <w:rsid w:val="00CD1713"/>
    <w:rsid w:val="00CD19F7"/>
    <w:rsid w:val="00CD1ABD"/>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1FF9"/>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6E8A"/>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29E"/>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88D"/>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066"/>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0D"/>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7F"/>
    <w:rsid w:val="00DB3DC7"/>
    <w:rsid w:val="00DB3E45"/>
    <w:rsid w:val="00DB43B0"/>
    <w:rsid w:val="00DB4889"/>
    <w:rsid w:val="00DB551E"/>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58E"/>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5D7"/>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2CC"/>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BEA"/>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BB4"/>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6D8"/>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2C7"/>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16B"/>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65"/>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746"/>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7A"/>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309"/>
    <w:rsid w:val="00F74A15"/>
    <w:rsid w:val="00F74CD0"/>
    <w:rsid w:val="00F74FC9"/>
    <w:rsid w:val="00F75091"/>
    <w:rsid w:val="00F75B38"/>
    <w:rsid w:val="00F75BE7"/>
    <w:rsid w:val="00F76008"/>
    <w:rsid w:val="00F76337"/>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23"/>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uiPriority w:val="99"/>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 w:type="character" w:customStyle="1" w:styleId="B3Char">
    <w:name w:val="B3 Char"/>
    <w:locked/>
    <w:rsid w:val="00693C1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docs/R1-1709300.zi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tdocs/R1-1708996.zi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2017-08-11T11:51:00Z</dcterms:created>
  <dcterms:modified xsi:type="dcterms:W3CDTF">2017-08-11T11:51:00Z</dcterms:modified>
</cp:coreProperties>
</file>